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40250F">
        <w:rPr>
          <w:b/>
        </w:rPr>
        <w:t>KASIM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40250F">
        <w:rPr>
          <w:b/>
        </w:rPr>
        <w:t>KASIM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40250F">
        <w:rPr>
          <w:b/>
          <w:u w:val="single"/>
        </w:rPr>
        <w:t>2,68</w:t>
      </w:r>
      <w:r w:rsidRPr="002E3D42">
        <w:rPr>
          <w:b/>
          <w:u w:val="single"/>
        </w:rPr>
        <w:t>’L</w:t>
      </w:r>
      <w:r w:rsidR="0040250F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="00E54845">
        <w:rPr>
          <w:b/>
          <w:u w:val="single"/>
        </w:rPr>
        <w:t xml:space="preserve"> ARTIŞ </w:t>
      </w:r>
      <w:r w:rsidR="00954E2C">
        <w:rPr>
          <w:b/>
          <w:u w:val="single"/>
        </w:rPr>
        <w:t xml:space="preserve">OLDUĞU GÖRÜLMESİNE </w:t>
      </w:r>
      <w:r w:rsidR="00E54845">
        <w:rPr>
          <w:b/>
          <w:u w:val="single"/>
        </w:rPr>
        <w:t>RAĞMEN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40250F">
        <w:rPr>
          <w:b/>
          <w:u w:val="single"/>
        </w:rPr>
        <w:t>29,44</w:t>
      </w:r>
      <w:r w:rsidR="00E20EBD" w:rsidRPr="002E3D42">
        <w:rPr>
          <w:b/>
          <w:u w:val="single"/>
        </w:rPr>
        <w:t>’L</w:t>
      </w:r>
      <w:r w:rsidR="0040250F">
        <w:rPr>
          <w:b/>
          <w:u w:val="single"/>
        </w:rPr>
        <w:t>Ü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4B1312">
        <w:rPr>
          <w:b/>
        </w:rPr>
        <w:t>ON</w:t>
      </w:r>
      <w:r w:rsidR="0040250F">
        <w:rPr>
          <w:b/>
        </w:rPr>
        <w:t>BİR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5E6B69">
        <w:rPr>
          <w:b/>
          <w:u w:val="single"/>
        </w:rPr>
        <w:t>0,</w:t>
      </w:r>
      <w:r w:rsidR="0040250F">
        <w:rPr>
          <w:b/>
          <w:u w:val="single"/>
        </w:rPr>
        <w:t>69</w:t>
      </w:r>
      <w:r w:rsidR="007B5079">
        <w:rPr>
          <w:b/>
          <w:u w:val="single"/>
        </w:rPr>
        <w:t>’L</w:t>
      </w:r>
      <w:r w:rsidR="0040250F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4B1312">
        <w:rPr>
          <w:b/>
          <w:u w:val="single"/>
        </w:rPr>
        <w:t xml:space="preserve"> ARTIŞ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4B1312">
        <w:rPr>
          <w:b/>
          <w:u w:val="single"/>
        </w:rPr>
        <w:t>DA İSE</w:t>
      </w:r>
      <w:r w:rsidR="00DE6AC8">
        <w:rPr>
          <w:b/>
          <w:u w:val="single"/>
        </w:rPr>
        <w:t xml:space="preserve"> </w:t>
      </w:r>
      <w:r w:rsidR="007550AE" w:rsidRPr="00B30E5F">
        <w:rPr>
          <w:b/>
          <w:u w:val="single"/>
        </w:rPr>
        <w:t xml:space="preserve">YÜZDE </w:t>
      </w:r>
      <w:r w:rsidR="002D6666">
        <w:rPr>
          <w:b/>
          <w:u w:val="single"/>
        </w:rPr>
        <w:t>24,</w:t>
      </w:r>
      <w:r w:rsidR="0040250F">
        <w:rPr>
          <w:b/>
          <w:u w:val="single"/>
        </w:rPr>
        <w:t>71</w:t>
      </w:r>
      <w:r w:rsidR="007B5079">
        <w:rPr>
          <w:b/>
          <w:u w:val="single"/>
        </w:rPr>
        <w:t>’L</w:t>
      </w:r>
      <w:r w:rsidR="0040250F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40250F">
        <w:t>Kasım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40250F">
        <w:t>Kasım</w:t>
      </w:r>
      <w:r w:rsidR="004407B0">
        <w:t xml:space="preserve"> ayına göre verilen geçiş belgesi sayısında yüzde </w:t>
      </w:r>
      <w:r w:rsidR="0040250F">
        <w:t>2,68</w:t>
      </w:r>
      <w:r w:rsidR="00F172B8">
        <w:t>’l</w:t>
      </w:r>
      <w:r w:rsidR="0040250F">
        <w:t>i</w:t>
      </w:r>
      <w:r w:rsidR="00410F14">
        <w:t>k</w:t>
      </w:r>
      <w:r w:rsidR="00954E2C">
        <w:t xml:space="preserve"> artış olduğu görülmesine rağmen</w:t>
      </w:r>
      <w:r w:rsidR="00F930CB">
        <w:t xml:space="preserve">, </w:t>
      </w:r>
      <w:r w:rsidR="004407B0">
        <w:t>TIR Karnesi sayısında</w:t>
      </w:r>
      <w:r w:rsidR="00E614A9">
        <w:t xml:space="preserve"> </w:t>
      </w:r>
      <w:r w:rsidR="004407B0">
        <w:t xml:space="preserve">yüzde </w:t>
      </w:r>
      <w:r w:rsidR="0040250F">
        <w:t>29,44’lü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0250F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40250F">
              <w:t>Kasım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0250F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40250F">
              <w:t>Kasım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0250F" w:rsidP="00BD28C9">
            <w:pPr>
              <w:jc w:val="center"/>
            </w:pPr>
            <w:r>
              <w:t>79</w:t>
            </w:r>
            <w:r w:rsidR="00CD272B">
              <w:t>.</w:t>
            </w:r>
            <w:r>
              <w:t>542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CD272B" w:rsidP="006A7F58">
            <w:pPr>
              <w:jc w:val="center"/>
            </w:pPr>
            <w:r>
              <w:t>81.674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CD272B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CD272B">
              <w:t>2,68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0250F" w:rsidP="00E614A9">
            <w:pPr>
              <w:jc w:val="center"/>
            </w:pPr>
            <w:r>
              <w:t>45</w:t>
            </w:r>
            <w:r w:rsidR="00CD272B">
              <w:t>.291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CD272B" w:rsidP="00753E96">
            <w:pPr>
              <w:jc w:val="center"/>
            </w:pPr>
            <w:r>
              <w:t>31.957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CD272B">
            <w:r>
              <w:t xml:space="preserve">        </w:t>
            </w:r>
            <w:r w:rsidR="00AE6D8D">
              <w:t>% -</w:t>
            </w:r>
            <w:r w:rsidR="00CD272B">
              <w:t>29,44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proofErr w:type="spellStart"/>
      <w:r w:rsidR="004B1312">
        <w:t>on</w:t>
      </w:r>
      <w:r w:rsidR="00CD272B">
        <w:t>bir</w:t>
      </w:r>
      <w:proofErr w:type="spellEnd"/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545939">
        <w:t>0,</w:t>
      </w:r>
      <w:r w:rsidR="00CD272B">
        <w:t>69</w:t>
      </w:r>
      <w:r w:rsidR="00EB4F82">
        <w:t>’</w:t>
      </w:r>
      <w:r w:rsidR="00CD272B">
        <w:t>li</w:t>
      </w:r>
      <w:r w:rsidR="004407B0">
        <w:t>k</w:t>
      </w:r>
      <w:r w:rsidR="004B1312">
        <w:t xml:space="preserve"> artış</w:t>
      </w:r>
      <w:r w:rsidR="00EF073D">
        <w:t xml:space="preserve">, </w:t>
      </w:r>
      <w:r w:rsidR="004407B0">
        <w:t xml:space="preserve">aynı dönemde verilen TIR Karnesi sayısında </w:t>
      </w:r>
      <w:r w:rsidR="004B1312">
        <w:t>ise</w:t>
      </w:r>
      <w:r w:rsidR="00836C0B">
        <w:t xml:space="preserve"> yüzde </w:t>
      </w:r>
      <w:r w:rsidR="002D6666">
        <w:t>24,</w:t>
      </w:r>
      <w:r w:rsidR="00CD272B">
        <w:t>71’li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84"/>
      </w:tblGrid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CD272B">
            <w:r>
              <w:t>201</w:t>
            </w:r>
            <w:r w:rsidR="006A7F58">
              <w:t>3</w:t>
            </w:r>
            <w:r>
              <w:t>(Ocak-</w:t>
            </w:r>
            <w:r w:rsidR="00CD272B">
              <w:t>Kasım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CD272B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CD272B">
              <w:t>Kasım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CD272B">
            <w:pPr>
              <w:jc w:val="center"/>
            </w:pPr>
            <w:r>
              <w:t>803.815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41719" w:rsidP="00836C0B">
            <w:pPr>
              <w:jc w:val="center"/>
            </w:pPr>
            <w:r>
              <w:t>809.372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641719">
            <w:pPr>
              <w:jc w:val="center"/>
            </w:pPr>
            <w:r>
              <w:t>%</w:t>
            </w:r>
            <w:r w:rsidR="00F172B8">
              <w:t xml:space="preserve"> </w:t>
            </w:r>
            <w:r w:rsidR="00545939">
              <w:t>0,</w:t>
            </w:r>
            <w:r w:rsidR="00641719">
              <w:t>69</w:t>
            </w:r>
          </w:p>
        </w:tc>
      </w:tr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41719">
            <w:pPr>
              <w:jc w:val="center"/>
            </w:pPr>
            <w:r>
              <w:t>518.447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41719">
            <w:pPr>
              <w:jc w:val="center"/>
            </w:pPr>
            <w:r>
              <w:t>390.327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641719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2D6666">
              <w:t>24,</w:t>
            </w:r>
            <w:r w:rsidR="00641719">
              <w:t>71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276"/>
        <w:gridCol w:w="1701"/>
        <w:gridCol w:w="1701"/>
        <w:gridCol w:w="1276"/>
      </w:tblGrid>
      <w:tr w:rsidR="00334334" w:rsidTr="00B43552">
        <w:tc>
          <w:tcPr>
            <w:tcW w:w="1135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6" w:type="dxa"/>
            <w:vAlign w:val="center"/>
          </w:tcPr>
          <w:p w:rsidR="00B15B9F" w:rsidRDefault="002C7495" w:rsidP="00B15B9F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B43552">
            <w:pPr>
              <w:jc w:val="center"/>
            </w:pPr>
            <w:r>
              <w:t>(</w:t>
            </w:r>
            <w:r w:rsidR="00B43552">
              <w:t>Kasım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545939" w:rsidP="00B43552">
            <w:r>
              <w:t xml:space="preserve">   </w:t>
            </w:r>
            <w:r w:rsidR="00A26F26">
              <w:t>(</w:t>
            </w:r>
            <w:r w:rsidR="00B43552">
              <w:t>Kasım</w:t>
            </w:r>
            <w:r w:rsidR="00A26F26"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701" w:type="dxa"/>
            <w:vAlign w:val="center"/>
          </w:tcPr>
          <w:p w:rsidR="006B7B73" w:rsidRDefault="0077335E" w:rsidP="006B7B73">
            <w:r>
              <w:t xml:space="preserve">       </w:t>
            </w:r>
            <w:r w:rsidR="00F03BA5">
              <w:t xml:space="preserve"> </w:t>
            </w:r>
            <w:r w:rsidR="00A26F26">
              <w:t>201</w:t>
            </w:r>
            <w:r>
              <w:t>3</w:t>
            </w:r>
          </w:p>
          <w:p w:rsidR="002C7495" w:rsidRDefault="0077335E" w:rsidP="00B43552">
            <w:r>
              <w:t>(Ocak-</w:t>
            </w:r>
            <w:r w:rsidR="00B43552">
              <w:t>Kasım</w:t>
            </w:r>
            <w:r w:rsidR="00A26F26">
              <w:t>)</w:t>
            </w:r>
          </w:p>
        </w:tc>
        <w:tc>
          <w:tcPr>
            <w:tcW w:w="1701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5F7BD2" w:rsidP="00B43552">
            <w:r>
              <w:t xml:space="preserve"> </w:t>
            </w:r>
            <w:r w:rsidR="00A26F26">
              <w:t>(Ocak-</w:t>
            </w:r>
            <w:r w:rsidR="00B43552">
              <w:t>Kasım</w:t>
            </w:r>
            <w:r w:rsidR="00A26F26"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bookmarkStart w:id="0" w:name="_GoBack"/>
        <w:bookmarkEnd w:id="0"/>
      </w:tr>
      <w:tr w:rsidR="00334334" w:rsidTr="00B43552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6" w:type="dxa"/>
            <w:vAlign w:val="center"/>
          </w:tcPr>
          <w:p w:rsidR="002C7495" w:rsidRDefault="00641719" w:rsidP="004B1312">
            <w:pPr>
              <w:jc w:val="center"/>
            </w:pPr>
            <w:r>
              <w:t>2.066</w:t>
            </w:r>
          </w:p>
        </w:tc>
        <w:tc>
          <w:tcPr>
            <w:tcW w:w="1275" w:type="dxa"/>
            <w:vAlign w:val="center"/>
          </w:tcPr>
          <w:p w:rsidR="002C7495" w:rsidRDefault="00641719" w:rsidP="00305121">
            <w:pPr>
              <w:jc w:val="center"/>
            </w:pPr>
            <w:r>
              <w:t>5.285</w:t>
            </w:r>
          </w:p>
        </w:tc>
        <w:tc>
          <w:tcPr>
            <w:tcW w:w="1276" w:type="dxa"/>
            <w:vAlign w:val="center"/>
          </w:tcPr>
          <w:p w:rsidR="002C7495" w:rsidRDefault="00A179AB" w:rsidP="00641719">
            <w:r>
              <w:t xml:space="preserve">% </w:t>
            </w:r>
            <w:r w:rsidR="00641719">
              <w:t>155,81</w:t>
            </w:r>
          </w:p>
        </w:tc>
        <w:tc>
          <w:tcPr>
            <w:tcW w:w="1701" w:type="dxa"/>
            <w:vAlign w:val="center"/>
          </w:tcPr>
          <w:p w:rsidR="002C7495" w:rsidRDefault="00233D88" w:rsidP="001B48A7">
            <w:pPr>
              <w:jc w:val="center"/>
            </w:pPr>
            <w:r>
              <w:t>21.572</w:t>
            </w:r>
          </w:p>
        </w:tc>
        <w:tc>
          <w:tcPr>
            <w:tcW w:w="1701" w:type="dxa"/>
            <w:vAlign w:val="center"/>
          </w:tcPr>
          <w:p w:rsidR="002C7495" w:rsidRDefault="00233D88" w:rsidP="001B48A7">
            <w:pPr>
              <w:jc w:val="center"/>
            </w:pPr>
            <w:r>
              <w:t>34.104</w:t>
            </w:r>
          </w:p>
        </w:tc>
        <w:tc>
          <w:tcPr>
            <w:tcW w:w="1276" w:type="dxa"/>
            <w:vAlign w:val="center"/>
          </w:tcPr>
          <w:p w:rsidR="002C7495" w:rsidRDefault="00032442" w:rsidP="00233D88">
            <w:r>
              <w:t xml:space="preserve">  </w:t>
            </w:r>
            <w:r w:rsidR="00A179AB">
              <w:t xml:space="preserve">% </w:t>
            </w:r>
            <w:r w:rsidR="00233D88">
              <w:t>58,09</w:t>
            </w:r>
          </w:p>
        </w:tc>
      </w:tr>
      <w:tr w:rsidR="00334334" w:rsidTr="00B43552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6" w:type="dxa"/>
            <w:vAlign w:val="center"/>
          </w:tcPr>
          <w:p w:rsidR="002C7495" w:rsidRDefault="00641719" w:rsidP="004B1312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2C7495" w:rsidRDefault="00641719" w:rsidP="006B7B73">
            <w:pPr>
              <w:jc w:val="center"/>
            </w:pPr>
            <w:r>
              <w:t>58</w:t>
            </w:r>
          </w:p>
        </w:tc>
        <w:tc>
          <w:tcPr>
            <w:tcW w:w="1276" w:type="dxa"/>
            <w:vAlign w:val="center"/>
          </w:tcPr>
          <w:p w:rsidR="002C7495" w:rsidRDefault="00A179AB" w:rsidP="00641719">
            <w:r>
              <w:t xml:space="preserve">% </w:t>
            </w:r>
            <w:r w:rsidR="00641719">
              <w:t>728,57</w:t>
            </w:r>
          </w:p>
        </w:tc>
        <w:tc>
          <w:tcPr>
            <w:tcW w:w="1701" w:type="dxa"/>
            <w:vAlign w:val="center"/>
          </w:tcPr>
          <w:p w:rsidR="002C7495" w:rsidRDefault="00233D88" w:rsidP="00F54F87">
            <w:pPr>
              <w:jc w:val="center"/>
            </w:pPr>
            <w:r>
              <w:t>78</w:t>
            </w:r>
          </w:p>
        </w:tc>
        <w:tc>
          <w:tcPr>
            <w:tcW w:w="1701" w:type="dxa"/>
            <w:vAlign w:val="center"/>
          </w:tcPr>
          <w:p w:rsidR="002C7495" w:rsidRDefault="00233D88" w:rsidP="0028123C">
            <w:pPr>
              <w:jc w:val="center"/>
            </w:pPr>
            <w:r>
              <w:t>277</w:t>
            </w:r>
          </w:p>
        </w:tc>
        <w:tc>
          <w:tcPr>
            <w:tcW w:w="1276" w:type="dxa"/>
            <w:vAlign w:val="center"/>
          </w:tcPr>
          <w:p w:rsidR="002C7495" w:rsidRDefault="00D81B72" w:rsidP="00233D88">
            <w:r>
              <w:t xml:space="preserve">  </w:t>
            </w:r>
            <w:r w:rsidR="00A179AB">
              <w:t xml:space="preserve">% </w:t>
            </w:r>
            <w:r w:rsidR="00233D88">
              <w:t>255,13</w:t>
            </w:r>
          </w:p>
        </w:tc>
      </w:tr>
      <w:tr w:rsidR="00334334" w:rsidTr="00B43552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6" w:type="dxa"/>
            <w:vAlign w:val="center"/>
          </w:tcPr>
          <w:p w:rsidR="002C7495" w:rsidRDefault="00641719" w:rsidP="004B1312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2C7495" w:rsidRDefault="00641719" w:rsidP="004B1312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2C7495" w:rsidRDefault="004435EC" w:rsidP="00641719">
            <w:r>
              <w:t>%</w:t>
            </w:r>
            <w:r w:rsidR="00CE692D">
              <w:t xml:space="preserve"> </w:t>
            </w:r>
            <w:r w:rsidR="00641719">
              <w:t>144,44</w:t>
            </w:r>
          </w:p>
        </w:tc>
        <w:tc>
          <w:tcPr>
            <w:tcW w:w="1701" w:type="dxa"/>
            <w:vAlign w:val="center"/>
          </w:tcPr>
          <w:p w:rsidR="002C7495" w:rsidRDefault="00233D88" w:rsidP="00CE692D">
            <w:pPr>
              <w:jc w:val="center"/>
            </w:pPr>
            <w:r>
              <w:t>125</w:t>
            </w:r>
          </w:p>
        </w:tc>
        <w:tc>
          <w:tcPr>
            <w:tcW w:w="1701" w:type="dxa"/>
            <w:vAlign w:val="center"/>
          </w:tcPr>
          <w:p w:rsidR="002C7495" w:rsidRDefault="00233D88" w:rsidP="00334334">
            <w:pPr>
              <w:jc w:val="center"/>
            </w:pPr>
            <w:r>
              <w:t>259</w:t>
            </w:r>
          </w:p>
        </w:tc>
        <w:tc>
          <w:tcPr>
            <w:tcW w:w="1276" w:type="dxa"/>
            <w:vAlign w:val="center"/>
          </w:tcPr>
          <w:p w:rsidR="002C7495" w:rsidRDefault="00CE692D" w:rsidP="00233D88">
            <w:pPr>
              <w:jc w:val="center"/>
            </w:pPr>
            <w:r>
              <w:t xml:space="preserve"> </w:t>
            </w:r>
            <w:r w:rsidR="006B7B73">
              <w:t xml:space="preserve">% </w:t>
            </w:r>
            <w:r w:rsidR="00233D88">
              <w:t>107,20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233D88">
        <w:t>Kasım</w:t>
      </w:r>
      <w:r w:rsidR="00CC1743">
        <w:t xml:space="preserve"> ayında</w:t>
      </w:r>
      <w:r>
        <w:t xml:space="preserve"> </w:t>
      </w:r>
      <w:r w:rsidR="00233D88">
        <w:t>5.285</w:t>
      </w:r>
      <w:r>
        <w:t xml:space="preserve"> adet sürücü kartı, </w:t>
      </w:r>
      <w:r w:rsidR="00233D88">
        <w:t>7</w:t>
      </w:r>
      <w:r>
        <w:t xml:space="preserve"> adet şirket kartı ile </w:t>
      </w:r>
      <w:r w:rsidR="00233D88">
        <w:t>9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233D88">
        <w:rPr>
          <w:b/>
          <w:sz w:val="22"/>
          <w:szCs w:val="22"/>
        </w:rPr>
        <w:t>0</w:t>
      </w:r>
      <w:r w:rsidR="00B43552">
        <w:rPr>
          <w:b/>
          <w:sz w:val="22"/>
          <w:szCs w:val="22"/>
        </w:rPr>
        <w:t>4</w:t>
      </w:r>
      <w:r w:rsidR="004816A9">
        <w:rPr>
          <w:b/>
          <w:sz w:val="22"/>
          <w:szCs w:val="22"/>
        </w:rPr>
        <w:t>/</w:t>
      </w:r>
      <w:r w:rsidR="00233D88">
        <w:rPr>
          <w:b/>
          <w:sz w:val="22"/>
          <w:szCs w:val="22"/>
        </w:rPr>
        <w:t>12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4406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3D88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D6666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250F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35EC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1312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45939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E6B69"/>
    <w:rsid w:val="005F1359"/>
    <w:rsid w:val="005F2000"/>
    <w:rsid w:val="005F7BD2"/>
    <w:rsid w:val="00614868"/>
    <w:rsid w:val="0061590F"/>
    <w:rsid w:val="00625CDD"/>
    <w:rsid w:val="00626C42"/>
    <w:rsid w:val="00641719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359C1"/>
    <w:rsid w:val="009440D1"/>
    <w:rsid w:val="00946A60"/>
    <w:rsid w:val="00952AB2"/>
    <w:rsid w:val="00952E4D"/>
    <w:rsid w:val="00954E2C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3552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272B"/>
    <w:rsid w:val="00CD4A33"/>
    <w:rsid w:val="00CE682F"/>
    <w:rsid w:val="00CE692D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54845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4</cp:revision>
  <cp:lastPrinted>2014-01-06T12:03:00Z</cp:lastPrinted>
  <dcterms:created xsi:type="dcterms:W3CDTF">2014-12-03T08:45:00Z</dcterms:created>
  <dcterms:modified xsi:type="dcterms:W3CDTF">2014-12-03T09:28:00Z</dcterms:modified>
</cp:coreProperties>
</file>