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jc w:val="center"/>
        <w:tblLook w:val="01E0"/>
      </w:tblPr>
      <w:tblGrid>
        <w:gridCol w:w="2931"/>
        <w:gridCol w:w="2931"/>
        <w:gridCol w:w="2927"/>
      </w:tblGrid>
      <w:tr w:rsidR="00995A3F" w:rsidRPr="00995A3F">
        <w:trPr>
          <w:trHeight w:val="317"/>
          <w:jc w:val="center"/>
        </w:trPr>
        <w:tc>
          <w:tcPr>
            <w:tcW w:w="2931" w:type="dxa"/>
            <w:tcBorders>
              <w:top w:val="nil"/>
              <w:left w:val="nil"/>
              <w:bottom w:val="single" w:sz="4" w:space="0" w:color="660066"/>
              <w:right w:val="nil"/>
            </w:tcBorders>
            <w:vAlign w:val="center"/>
            <w:hideMark/>
          </w:tcPr>
          <w:p w:rsidR="00995A3F" w:rsidRPr="00995A3F" w:rsidRDefault="00995A3F" w:rsidP="00995A3F">
            <w:pPr>
              <w:tabs>
                <w:tab w:val="left" w:pos="567"/>
                <w:tab w:val="center" w:pos="994"/>
                <w:tab w:val="center" w:pos="3543"/>
                <w:tab w:val="right" w:pos="6520"/>
              </w:tabs>
              <w:spacing w:after="0" w:line="240" w:lineRule="exact"/>
              <w:rPr>
                <w:rFonts w:ascii="Arial" w:eastAsia="Times New Roman" w:hAnsi="Arial" w:cs="Arial"/>
                <w:b/>
                <w:smallCaps w:val="0"/>
                <w:sz w:val="16"/>
                <w:szCs w:val="16"/>
                <w:lang w:eastAsia="tr-TR"/>
              </w:rPr>
            </w:pPr>
            <w:r w:rsidRPr="00995A3F">
              <w:rPr>
                <w:rFonts w:ascii="Arial" w:eastAsia="Times New Roman" w:hAnsi="Arial" w:cs="Arial"/>
                <w:smallCaps w:val="0"/>
                <w:sz w:val="16"/>
                <w:szCs w:val="16"/>
                <w:lang w:eastAsia="tr-TR"/>
              </w:rPr>
              <w:t>28 Ağustos 2012 SALI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660066"/>
              <w:right w:val="nil"/>
            </w:tcBorders>
            <w:vAlign w:val="center"/>
            <w:hideMark/>
          </w:tcPr>
          <w:p w:rsidR="00995A3F" w:rsidRPr="00995A3F" w:rsidRDefault="00995A3F" w:rsidP="00995A3F">
            <w:pPr>
              <w:tabs>
                <w:tab w:val="left" w:pos="567"/>
                <w:tab w:val="center" w:pos="994"/>
                <w:tab w:val="center" w:pos="3543"/>
                <w:tab w:val="right" w:pos="6520"/>
              </w:tabs>
              <w:spacing w:after="0" w:line="240" w:lineRule="exact"/>
              <w:jc w:val="center"/>
              <w:rPr>
                <w:rFonts w:ascii="Palatino Linotype" w:eastAsia="Times New Roman" w:hAnsi="Palatino Linotype" w:cs="Times New Roman"/>
                <w:b/>
                <w:smallCaps w:val="0"/>
                <w:color w:val="800080"/>
                <w:sz w:val="24"/>
                <w:szCs w:val="24"/>
                <w:lang w:eastAsia="tr-TR"/>
              </w:rPr>
            </w:pPr>
            <w:r w:rsidRPr="00995A3F">
              <w:rPr>
                <w:rFonts w:ascii="Palatino Linotype" w:eastAsia="Times New Roman" w:hAnsi="Palatino Linotype" w:cs="Times New Roman"/>
                <w:b/>
                <w:smallCaps w:val="0"/>
                <w:color w:val="800080"/>
                <w:sz w:val="24"/>
                <w:szCs w:val="24"/>
                <w:lang w:eastAsia="tr-TR"/>
              </w:rPr>
              <w:t>Resmî Gazete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660066"/>
              <w:right w:val="nil"/>
            </w:tcBorders>
            <w:vAlign w:val="center"/>
            <w:hideMark/>
          </w:tcPr>
          <w:p w:rsidR="00995A3F" w:rsidRPr="00995A3F" w:rsidRDefault="00995A3F" w:rsidP="00995A3F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smallCaps w:val="0"/>
                <w:sz w:val="16"/>
                <w:szCs w:val="16"/>
                <w:lang w:eastAsia="tr-TR"/>
              </w:rPr>
            </w:pPr>
            <w:proofErr w:type="gramStart"/>
            <w:r w:rsidRPr="00995A3F">
              <w:rPr>
                <w:rFonts w:ascii="Arial" w:eastAsia="Times New Roman" w:hAnsi="Arial" w:cs="Arial"/>
                <w:smallCaps w:val="0"/>
                <w:sz w:val="16"/>
                <w:szCs w:val="16"/>
                <w:lang w:eastAsia="tr-TR"/>
              </w:rPr>
              <w:t>Sayı : 28395</w:t>
            </w:r>
            <w:proofErr w:type="gramEnd"/>
          </w:p>
        </w:tc>
      </w:tr>
      <w:tr w:rsidR="00995A3F" w:rsidRPr="00995A3F">
        <w:trPr>
          <w:trHeight w:val="480"/>
          <w:jc w:val="center"/>
        </w:trPr>
        <w:tc>
          <w:tcPr>
            <w:tcW w:w="8789" w:type="dxa"/>
            <w:gridSpan w:val="3"/>
            <w:vAlign w:val="center"/>
            <w:hideMark/>
          </w:tcPr>
          <w:p w:rsidR="00995A3F" w:rsidRPr="00995A3F" w:rsidRDefault="00995A3F" w:rsidP="00995A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mallCaps w:val="0"/>
                <w:color w:val="000080"/>
                <w:sz w:val="18"/>
                <w:szCs w:val="18"/>
                <w:lang w:eastAsia="tr-TR"/>
              </w:rPr>
            </w:pPr>
            <w:r w:rsidRPr="00995A3F">
              <w:rPr>
                <w:rFonts w:ascii="Arial" w:eastAsia="Times New Roman" w:hAnsi="Arial" w:cs="Arial"/>
                <w:b/>
                <w:smallCaps w:val="0"/>
                <w:color w:val="000080"/>
                <w:sz w:val="18"/>
                <w:szCs w:val="18"/>
                <w:lang w:eastAsia="tr-TR"/>
              </w:rPr>
              <w:t>YÖNETMELİK</w:t>
            </w:r>
          </w:p>
        </w:tc>
      </w:tr>
      <w:tr w:rsidR="00995A3F" w:rsidRPr="00995A3F">
        <w:trPr>
          <w:trHeight w:val="480"/>
          <w:jc w:val="center"/>
        </w:trPr>
        <w:tc>
          <w:tcPr>
            <w:tcW w:w="8789" w:type="dxa"/>
            <w:gridSpan w:val="3"/>
            <w:vAlign w:val="center"/>
            <w:hideMark/>
          </w:tcPr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  <w:u w:val="single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  <w:u w:val="single"/>
              </w:rPr>
              <w:t>G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  <w:u w:val="single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  <w:u w:val="single"/>
              </w:rPr>
              <w:t>mr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  <w:u w:val="single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  <w:u w:val="single"/>
              </w:rPr>
              <w:t>k ve Ticaret Bakanl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  <w:u w:val="single"/>
              </w:rPr>
              <w:t>ığı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  <w:u w:val="single"/>
              </w:rPr>
              <w:t>ndan:</w:t>
            </w:r>
          </w:p>
          <w:p w:rsidR="00995A3F" w:rsidRPr="00995A3F" w:rsidRDefault="00995A3F" w:rsidP="00995A3F">
            <w:pPr>
              <w:spacing w:before="56" w:after="0" w:line="240" w:lineRule="exact"/>
              <w:jc w:val="center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T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İ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CARET 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Şİ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RKETLER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İ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İ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 G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MR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 VE T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İ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CARET BAKANLI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INCA</w:t>
            </w:r>
          </w:p>
          <w:p w:rsidR="00995A3F" w:rsidRPr="00995A3F" w:rsidRDefault="00995A3F" w:rsidP="00995A3F">
            <w:pPr>
              <w:spacing w:after="226" w:line="240" w:lineRule="exact"/>
              <w:jc w:val="center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DENETLENMES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İ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HAKKINDA Y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NETMEL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İ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</w:t>
            </w:r>
          </w:p>
          <w:p w:rsidR="00995A3F" w:rsidRPr="00995A3F" w:rsidRDefault="00995A3F" w:rsidP="00995A3F">
            <w:pPr>
              <w:spacing w:after="0" w:line="240" w:lineRule="exact"/>
              <w:jc w:val="center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B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İ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İ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NC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İ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B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</w:t>
            </w:r>
          </w:p>
          <w:p w:rsidR="00995A3F" w:rsidRPr="00995A3F" w:rsidRDefault="00995A3F" w:rsidP="00995A3F">
            <w:pPr>
              <w:spacing w:after="0" w:line="240" w:lineRule="exact"/>
              <w:jc w:val="center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Ama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, Kapsam, Dayanak ve Tan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mlar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Ama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ve kapsam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1 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–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Bu 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amac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ticaret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irketlerinin denetime tabi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lemlerini belirlemek ve bu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lemlerin Bakanl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 denetlenmesine ili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ilkeleri ve usul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zenlemektir.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(2) Bu 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netmelik, </w:t>
            </w:r>
            <w:proofErr w:type="gramStart"/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13/1/2011</w:t>
            </w:r>
            <w:proofErr w:type="gramEnd"/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tarihli ve 6102 say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Ticaret Kanununa g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kurulan ve faaliyet g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steren ticaret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irketleri ile kurulu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faaliyetleri di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kanunlarla d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zenlenen ticaret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irketlerinin, Kanuna tabi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lemlerinin denetlenmesini kapsar.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Dayanak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2 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–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Bu 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netmelik, 6102 say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 210 uncu maddesinin birinci f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dayan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larak haz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rlanm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Tan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mlar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3 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–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Bu 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netmelikte ge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en;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a) Bakanl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k: G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Ticaret Bakanl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ığı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b) Ba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kanl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k: G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Ticaret Bakanl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ığı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Rehberlik ve Tefti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Ba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kanl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ığı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c) Denetim eleman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: G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Ticaret Ba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fetti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i, G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Ticaret M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fetti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ile G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Ticaret M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fetti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Yard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mc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) Denetim kan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: Ticaret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irketlerine ait ticari defterler, finansal tablolar, raporlar ve muhasebe kay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da </w:t>
            </w:r>
            <w:proofErr w:type="gramStart"/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dahil</w:t>
            </w:r>
            <w:proofErr w:type="gramEnd"/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olmak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zere t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 yaz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malar, kay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tlar ve belgeler ile denetim kapsam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di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ger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 ve t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 ki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ilerden elde edilen bilgi ve belgeleri,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d) Genel kurul: Anonim, </w:t>
            </w:r>
            <w:proofErr w:type="spellStart"/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limited</w:t>
            </w:r>
            <w:proofErr w:type="spellEnd"/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sermayesi paylara b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nm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komandit ve kooperatif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irketlerdeki genel kurulu, </w:t>
            </w:r>
            <w:proofErr w:type="spellStart"/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kollektif</w:t>
            </w:r>
            <w:proofErr w:type="spellEnd"/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komandit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irketlerdeki ortaklar kurulunu ve gere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 ortaklar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t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e) Kanun: </w:t>
            </w:r>
            <w:proofErr w:type="gramStart"/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13/1/2011</w:t>
            </w:r>
            <w:proofErr w:type="gramEnd"/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tarihli ve 6102 say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rk Ticaret Kanununu,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f) Ortak: Anonim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irketlerin pay sahiplerini, di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er ticaret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irketlerinin ortaklar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g)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zle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mesi: Anonim ve sermayesi paylara b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nm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komandit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irketlerde esas 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zle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meyi, </w:t>
            </w:r>
            <w:proofErr w:type="spellStart"/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kollektif</w:t>
            </w:r>
            <w:proofErr w:type="spellEnd"/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komandit ve </w:t>
            </w:r>
            <w:proofErr w:type="spellStart"/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limited</w:t>
            </w:r>
            <w:proofErr w:type="spellEnd"/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irketlerde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zle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mesini ve kooperatiflerde ana 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zle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meyi,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) Ticaret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irketi: </w:t>
            </w:r>
            <w:proofErr w:type="spellStart"/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Kollektif</w:t>
            </w:r>
            <w:proofErr w:type="spellEnd"/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komandit, anonim, </w:t>
            </w:r>
            <w:proofErr w:type="spellStart"/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limited</w:t>
            </w:r>
            <w:proofErr w:type="spellEnd"/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sermayesi paylara b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nm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komandit ve kooperatif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irketi,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h) 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organ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: Anonim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irketler ve kooperatif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irketlerde 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netim kurulunu, </w:t>
            </w:r>
            <w:proofErr w:type="spellStart"/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limited</w:t>
            </w:r>
            <w:proofErr w:type="spellEnd"/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irketlerde m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veya m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rler kurulunu, </w:t>
            </w:r>
            <w:proofErr w:type="spellStart"/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kollektif</w:t>
            </w:r>
            <w:proofErr w:type="spellEnd"/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komandit ve sermayesi paylara b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nm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komandit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irketlerde 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neticiyi,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proofErr w:type="gramStart"/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ifade</w:t>
            </w:r>
            <w:proofErr w:type="gramEnd"/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eder.</w:t>
            </w:r>
          </w:p>
          <w:p w:rsidR="00995A3F" w:rsidRPr="00995A3F" w:rsidRDefault="00995A3F" w:rsidP="00995A3F">
            <w:pPr>
              <w:spacing w:after="0" w:line="240" w:lineRule="exact"/>
              <w:jc w:val="center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İ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İ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NC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İ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B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</w:t>
            </w:r>
          </w:p>
          <w:p w:rsidR="00995A3F" w:rsidRPr="00995A3F" w:rsidRDefault="00995A3F" w:rsidP="00995A3F">
            <w:pPr>
              <w:spacing w:after="56" w:line="240" w:lineRule="exact"/>
              <w:jc w:val="center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Denetimin Amac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, Denetime Konu 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İş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lemler ve Denetim 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İ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lkeleri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Denetimin amac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ı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4 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–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Bakanl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 yap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lacak denetimin amac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; ticaret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irketlerinin Kanuna ve Kanuna dayan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larak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d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zenleyici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lemlere uygun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 yapmalar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lamakt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 Bu ama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do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rultusunda, Bakanl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a ticaret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irketlerinin kurulu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undan sona ermesine kadar ger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ekle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en t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lemlerinin Kanuna ve Kanuna dayan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larak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d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zenleyici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lemlere uygunlu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 denetlenir, uygunsuzluklar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giderilmesi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rehberlik edilir, cezai sorumlulu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u </w:t>
            </w:r>
            <w:proofErr w:type="gramStart"/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tespit  edilenler</w:t>
            </w:r>
            <w:proofErr w:type="gramEnd"/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yetkili makamlara, hukuki sorumlulu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 tespit edilenler de genel kurul g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ndemine al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p g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üşü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lmek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zere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organ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na bildirilir ve uygulamada ortaya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kan aksakl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giderilmesine 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nelik tedbirler al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Denetime konu i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lemler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5 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–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(1) Ticaret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irketlerinin, Bakanl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ığı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denetimine konu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lemleri a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 g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sterilmi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tir: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a) Kurulu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lemleri,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b) Ticaret siciline tescil ve ilan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lemleri,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c) Ticaret unvan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ve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letme ad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ili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lemler,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) Ticari defterlere ili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lemler,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d) Birle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me, b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nme ve t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 de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tirme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lemleri,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e)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 toplulu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una, ba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a ve </w:t>
            </w:r>
            <w:proofErr w:type="gramStart"/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hakimiyete</w:t>
            </w:r>
            <w:proofErr w:type="gramEnd"/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lemler,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f) Genel kurulun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na, toplanmas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na, karar almas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na, g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revlerine ve yetkilerine ili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lemler,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lastRenderedPageBreak/>
              <w:t>g) 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organ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olu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umuna, toplanmas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na, karar almas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na, sorumlulu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una, g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 ve yetkilerine 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nelik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lemler,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) Denet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inin se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ilmesine ili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lemler,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h)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zle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mesinin de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tirilmesine ili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lemler,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) Paya ve sermaye koyma borcuna ili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lemler,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i) Menkul k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ymet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lemleri,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j) Sermayenin art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azalt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tamamlanmas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lemleri,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k) Finansal tablolara, 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faaliyet raporlar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ve yedek ak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elere 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nelik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lemler,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l) K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â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r, kazan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tasfiye pay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ili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lemler,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m) Elektronik ve bilgi toplumu hizmetlerine ili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lemler,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n) Sona erme ve tasfiyeye 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nelik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lemler,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o) Kanuna dayan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larak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d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zenleyici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lemlere konu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lemler.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(2) Bu maddenin birinci f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say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lemler, her bir ticaret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irketinin t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 g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ve bu t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ba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zellikleri g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z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 bulundurularak denetlenir.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(3) Kurulu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faaliyetleri di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kanunlarla d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zenlenen ticaret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irketlerinin, bu maddenin birinci f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say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ancak ilgili kanunlar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uyar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 m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nhas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ran yetkili bakanl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k, kurul, kurum veya kurulu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taraf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denetlenmesi h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 alt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al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nmayan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 veya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lemleri Bakanl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ığı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denetimine tabidir.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Denetim ilkeleri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6 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–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Ticaret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irketlerinin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lemleri; tarafs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k, e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itlik, d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k, gizlilik ve mesleki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 ilkeleri ba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ta olmak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zere a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daki esaslara g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denetlenir.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a) Denetim kan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toplanmas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nda,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nyarg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 ve tarafs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 davran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b) Toplanan kan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tlar, adil ve nesnel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de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erlendirilir.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c) Ula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sonu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lar, yeterli ve uygun kan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tlara dayand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 ve bu konuda azami mesleki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 ve dikkat g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sterilir.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) Gerekti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 denetlenenlerin incelenen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 hakk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ndaki g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leri al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d) Denetim faaliyetleri yerine getirilirken kanun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 e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itlik ilkesine uygun hareket edilir.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e) Denetim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sorumluluk duygusu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 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f) Denetim faaliyetlerinin 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lmesi ve raporlanmas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amalar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gizlili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riayet edilir.</w:t>
            </w:r>
          </w:p>
          <w:p w:rsidR="00995A3F" w:rsidRPr="00995A3F" w:rsidRDefault="00995A3F" w:rsidP="00995A3F">
            <w:pPr>
              <w:spacing w:after="0" w:line="240" w:lineRule="exact"/>
              <w:jc w:val="center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ÜÇÜ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NC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B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</w:t>
            </w:r>
          </w:p>
          <w:p w:rsidR="00995A3F" w:rsidRPr="00995A3F" w:rsidRDefault="00995A3F" w:rsidP="00995A3F">
            <w:pPr>
              <w:spacing w:after="56" w:line="240" w:lineRule="exact"/>
              <w:jc w:val="center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Denetim Teknikleri, Denetim Usul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ve D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zenlenecek Raporlar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Denetim teknikleri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7 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–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Denetim elemanlar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yeterli ve gerekli denetim kan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a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daki tekniklerin hepsini veya bir k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sm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ya da bunlara benzer di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denetim tekniklerini kullanarak toplarlar.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a) Varl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 incelemesi: Ticaret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irketlerinin bilan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osunda kay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nen ve duran varl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n, fiilen mevcut bulunup bulunmad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ığı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ve mevcudiyeti saptanan varl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ticaret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irketine ait olup olmad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ığı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do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rulanmas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lemidir.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b) G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zlem: Baz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denetim kan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elde edilmesi 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recinde, denetim eleman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haz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 bulunmas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bu 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rece nezaret etmesidir.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c) Do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rulama: Denetim eleman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n, ticaret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 d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ışı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ndaki kaynaklardan do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rudan do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ruya ya da Ba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kanl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arac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ığı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 yaz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bilgi almas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) Bilgi toplama: Denetim eleman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n, denetim 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recinde ilgililerden yaz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veya 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olarak bilgi almas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d) Kay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 sisteminin kontrol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: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rneklemeler yoluyla kaynak belgelerin se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ilmesi ve bu belgelerden hareketle muhasebe kay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 ortam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detayl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inceleme yap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larak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lemlerle ilgili kay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do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rulu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unun ara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e) Hesaplama: Ticaret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irketine ait hesaplamalar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denetim eleman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taraf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do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rulanmas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f) Belge incelemesi: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İş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lemlerle ilgili t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 kay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 ve belgelerin ayr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nt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olarak incelenmesidir.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g)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rnekleme: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İş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 grubu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erisindeki kalemlerin b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hakk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bilgi edinilebilmesi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bu grup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erisinde yer alan baz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kalemlerin se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ilerek incelemeye al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nmas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(2) Denetim kan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ticaret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irketlerine ait t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 varl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k, kaynak, gelir ve giderlerin ger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 oldu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unu ve bunlara ili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b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lemlerin do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ru tutarlar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 ve ger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uygun olarak kaydedildi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ini, haklar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ve 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klerin ger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 oldu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unu, yap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lemlerin Kanuna ve Kanuna dayan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larak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d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zenleyici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lemlere uygunlu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unu tespit etmek amac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 toplan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Denetim usul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8 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–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Ticaret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irketlerinin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lemleri, Bakanl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denetim elemanlar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 denetlenir.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(2) Bakanl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k, ticaret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irketlerinin denetimine resen veya ortaklar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yahut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üçü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ilerin istem, ihbar ve </w:t>
            </w:r>
            <w:proofErr w:type="gramStart"/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ikayetleri</w:t>
            </w:r>
            <w:proofErr w:type="gramEnd"/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zerine karar verebilir.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(3) Ticaret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irketlerinin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lemleri,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merkezinde ve gerekti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inde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ubelerinde veya ticari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letmesinde denetlenir. Ancak, denetimin belirtilen yerlerde 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lmesine ili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ko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ullar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yeterli ve uygun olmamas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halinde denetim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denetim eleman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belirleyece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yerde 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rd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lastRenderedPageBreak/>
              <w:t xml:space="preserve">(4) Denetim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ticaret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irketine ait teknolojik alt yap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yeterli ve g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venli olmas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denetim eleman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nca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merkezinde denetim yap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gerek g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lmemesi ve Ba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kanl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ığı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da uygun g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üşü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zerine kay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 ve belgelere elektronik ortamda eri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im sa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lanmas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suretiyle de ger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ekle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tirilebilir.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(5) Denetim elemanlar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denetledikleri ticaret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irketiyle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tirak, </w:t>
            </w:r>
            <w:proofErr w:type="gramStart"/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hakim</w:t>
            </w:r>
            <w:proofErr w:type="gramEnd"/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yahut ba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 ili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kisi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 olan ve bu 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 kapsam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na giren ticaret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irketlerinin de denetime dahil edilmesini gerekli g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rlerse, durumu gerek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esiyle birlikte Ba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kanl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 bildirirler ve bu konuda izin isterler.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D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zenlenecek raporlar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9 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–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Bakanl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denetim elemanlar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 yap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denetimler sonucunda a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daki raporlar d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zenlenir.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a) Tefti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Raporu: Ticaret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irketlerinin belli bir d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neme ait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lemlerinin,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rnekleme ve amaca uygun di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denetim teknikleri kullan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larak, Kanuna ve Kanuna dayan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larak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d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zenleyici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lemlere uygunlu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unun incelenmesi sonucunda d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zenlenen rapordur.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b) Soru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turma Raporu: Denetim 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ras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nda, kamu ad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soru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turmay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kovu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turmay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gerektiren bir su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un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lendi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inin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renilmesi durumunda yetkili makamlara bildirilmek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zere d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zenlenen rapordur.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c)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İ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nceleme Raporu: Tefti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soru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turma raporlar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konu olmayan hususlarda d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zenlenen rapordur.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(2) Denetim elemanlar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nca, birinci f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 uyar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 d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zenlenen raporlar Ba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kanl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b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nyesinde olu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turulan Rapor De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erlendirme Komisyonlar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 de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erlendirilmek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zere Ba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kanl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 sunulur.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(3) Ticaret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irketlerinin, kamu d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zenine veya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letme konusuna ayk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lemlerde veya bu 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 haz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klarda ya da muvazaal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faaliyetlerde bulundu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unun Bakanl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denetim elemanlar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 tespit edilmesi halinde Bakanl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 fesih davas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labilmesi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inceleme raporu d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zenlenir.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(4) Denetim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sonucunda a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daki hususlara ili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yap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lan tespit ve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nerilere tefti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veya inceleme raporlar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yer verilir.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a)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İ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lgililerin hukuki sorumlulu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unu gerektiren durumlar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genel kurul g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ndemine al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narak ortaklar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bilgisine sunulmas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.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b)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İ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dari para cezalar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uygulanmas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.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c) Di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bakanl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k, kurul, kurum ve kurulu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g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 alan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giren ve bunlar taraf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tedbir al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nmas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veya denetim yap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gerektiren durumlar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yetkili birimlere bildirilmesi.</w:t>
            </w:r>
          </w:p>
          <w:p w:rsidR="00995A3F" w:rsidRPr="00995A3F" w:rsidRDefault="00995A3F" w:rsidP="00995A3F">
            <w:pPr>
              <w:spacing w:before="56" w:after="0" w:line="240" w:lineRule="exact"/>
              <w:jc w:val="center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D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RD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NC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B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</w:t>
            </w:r>
          </w:p>
          <w:p w:rsidR="00995A3F" w:rsidRPr="00995A3F" w:rsidRDefault="00995A3F" w:rsidP="00995A3F">
            <w:pPr>
              <w:spacing w:after="56" w:line="240" w:lineRule="exact"/>
              <w:jc w:val="center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Denetlenenlerin ve Di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er Ger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ek ve T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zel Ki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ilerin Y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ml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kleri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Denetlenenlerin y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ml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kleri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proofErr w:type="gramStart"/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10 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–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Ticaret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irketlerinin 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organlar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yeleri, 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netimle g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revlendirilen ki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iler, komiteler ve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irket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anlar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; gizli dahi olsa yaz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veya elektronik ortamda tutulan her t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defter, kay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t, dosya, tutanak ve belgeleri denetim elemanlar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talebi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zerine uygun 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 vermekle, incelemelerine haz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 bulundurmakla veya g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sterecekleri yere getirip denetim eleman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 gerekli g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lmesi halinde tutanak kar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ığı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teslim etmekle, onayl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rneklerini vermekle, tutanaklar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imzalamakla, t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 bilgi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 sistemini denetim ama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uygun olarak a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makla, elektronik ortamda tutulan kay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okunabilir hale getirmekle, 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veya yaz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olarak sorulan hususlara ili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bilgileri ve cevaplar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vermekle, para ve para h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km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ndeki evrak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ayniyat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ilk talep halinde g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stermekle, say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ve incelenmesine yard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mc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olmakla, denetimin gere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gibi 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lebilmesi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denetim elemanlar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g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revleri 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resince uygun bir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 yeri sa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lamakla, gereken yard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kolayl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ığı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stermekle ve di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er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nlemleri almakla 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rler.</w:t>
            </w:r>
            <w:proofErr w:type="gramEnd"/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(2) Birinci f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krada ge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en uygun 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iki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nden az on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nden fazla olamaz. Bu 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re, ticaret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irketinin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 hacmi, organizasyon yap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denetimin kapsam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z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 bulundurularak denetim eleman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 belirlenir ve yaz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veya 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olarak ilgililere bildirilir. Hakl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sebeplerin varl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ığı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halinde bu 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denetim eleman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 uzat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labilir.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(3) Denetim elemanlar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 istenilen defter, kay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 ve belgeler ile bunlara ili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bilgilerin belirlenen 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rede verilmemesi veya eksik verilmesi ya da denetim elemanlar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g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revlerini yapmalar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engellenmesi halinde bu fiillerden sorumlu olanlar denetim elemanlar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 yaz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olarak uyar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 Uyar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yaz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nda, verilen 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 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klerin yerine getirilmemesinin Kanunun 562 </w:t>
            </w:r>
            <w:proofErr w:type="spellStart"/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nci</w:t>
            </w:r>
            <w:proofErr w:type="spellEnd"/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d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rd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uyar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 cezai sorumluluk gerektirdi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belirtilir. 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 konusu yaz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tebell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etmekten ka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nan veya uyar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yaz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ra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men verilen 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 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klerini yerine getirmeyenler hakk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ise kamu ad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soru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turma ve kovu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turma yap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soru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turma raporu d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zenlenir.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Di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er ger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ek ve t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zel ki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ilerin y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ml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kleri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proofErr w:type="gramStart"/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11 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–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Kamu kurum ve kurulu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kamu kurumu niteli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indeki meslek kurulu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kamuya yararl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dernekler, noterler, bankalar, sigorta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irketleri ile di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er ger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 ve t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 ki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iler, denetimin gere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olarak, denetim eleman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taraf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ndan istenilen bilgileri, belgeleri, kay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raporlar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gerek elektronik ortamda gerekse de yaz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olarak vermekle ve gerekli yard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lamakla 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rler.</w:t>
            </w:r>
            <w:proofErr w:type="gramEnd"/>
          </w:p>
          <w:p w:rsidR="00995A3F" w:rsidRPr="00995A3F" w:rsidRDefault="00995A3F" w:rsidP="00995A3F">
            <w:pPr>
              <w:spacing w:before="56" w:after="0" w:line="240" w:lineRule="exact"/>
              <w:jc w:val="center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BE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Şİ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NC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İ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B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</w:t>
            </w:r>
          </w:p>
          <w:p w:rsidR="00995A3F" w:rsidRPr="00995A3F" w:rsidRDefault="00995A3F" w:rsidP="00995A3F">
            <w:pPr>
              <w:spacing w:after="56" w:line="240" w:lineRule="exact"/>
              <w:jc w:val="center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e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itli ve Son H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mler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Denetim elemanlar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 g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revlendirilmeleri ve di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er hususlar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lastRenderedPageBreak/>
              <w:t xml:space="preserve">MADDE 12 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–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Denetim elemanlar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g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revlendirilmeleri,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ma bi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imleri,  d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zenlenen raporlar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de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erlendirilmesi ve raporlar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zerine yap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lacak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lemler, </w:t>
            </w:r>
            <w:proofErr w:type="gramStart"/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3/6/2011</w:t>
            </w:r>
            <w:proofErr w:type="gramEnd"/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tarihli ve 640 say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Ticaret Bakanl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ığı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Te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kilat ve G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revleri Hakk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Kanun H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km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nde Kararnamenin 16 </w:t>
            </w:r>
            <w:proofErr w:type="spellStart"/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proofErr w:type="spellEnd"/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 uyar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 Bakanl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 haz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rlanacak 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netmelikte d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zenlenir.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Ticaret 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irketlerinin t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zel ki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ili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inin sona ermesi halinde denetim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13 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–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T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 ki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 sona eren ticaret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irketlerinin i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lemleri, defterlerin ve belgelerin saklanma s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resi g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z 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 bulundurularak bu 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 h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mlerine g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Bakanl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ç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 denetlenebilir.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Y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rl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14 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–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Bu 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 yay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tarihinde 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üğ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girer.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Y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tme</w:t>
            </w:r>
          </w:p>
          <w:p w:rsidR="00995A3F" w:rsidRPr="00995A3F" w:rsidRDefault="00995A3F" w:rsidP="00995A3F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15 </w:t>
            </w:r>
            <w:r w:rsidRPr="00995A3F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–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Bu 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ö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netmelik h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mlerini G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Ticaret Bakan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ı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ü</w:t>
            </w:r>
            <w:r w:rsidRPr="00995A3F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</w:tc>
      </w:tr>
    </w:tbl>
    <w:p w:rsidR="00A4511D" w:rsidRDefault="00A4511D"/>
    <w:sectPr w:rsidR="00A4511D" w:rsidSect="00A45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5A3F"/>
    <w:rsid w:val="00995A3F"/>
    <w:rsid w:val="00A4511D"/>
    <w:rsid w:val="00B8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mallCaps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1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 w:val="0"/>
      <w:sz w:val="24"/>
      <w:szCs w:val="24"/>
      <w:lang w:eastAsia="tr-TR"/>
    </w:rPr>
  </w:style>
  <w:style w:type="paragraph" w:customStyle="1" w:styleId="1-Baslk">
    <w:name w:val="1-Baslık"/>
    <w:rsid w:val="00995A3F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mallCaps w:val="0"/>
      <w:szCs w:val="20"/>
      <w:u w:val="single"/>
    </w:rPr>
  </w:style>
  <w:style w:type="paragraph" w:customStyle="1" w:styleId="2-OrtaBaslk">
    <w:name w:val="2-Orta Baslık"/>
    <w:rsid w:val="00995A3F"/>
    <w:pPr>
      <w:spacing w:after="0" w:line="240" w:lineRule="auto"/>
      <w:jc w:val="center"/>
    </w:pPr>
    <w:rPr>
      <w:rFonts w:ascii="Times New Roman" w:eastAsia="ヒラギノ明朝 Pro W3" w:hAnsi="Times" w:cs="Times New Roman"/>
      <w:b/>
      <w:smallCaps w:val="0"/>
      <w:sz w:val="19"/>
      <w:szCs w:val="20"/>
    </w:rPr>
  </w:style>
  <w:style w:type="paragraph" w:customStyle="1" w:styleId="3-NormalYaz">
    <w:name w:val="3-Normal Yazı"/>
    <w:rsid w:val="00995A3F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mallCaps w:val="0"/>
      <w:sz w:val="19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66B09DF9EB9D644BC9216EA7A6DEA96" ma:contentTypeVersion="4" ma:contentTypeDescription="Yeni belge oluşturun." ma:contentTypeScope="" ma:versionID="4818b5836ac72ac8058bc2e43367fa89">
  <xsd:schema xmlns:xsd="http://www.w3.org/2001/XMLSchema" xmlns:xs="http://www.w3.org/2001/XMLSchema" xmlns:p="http://schemas.microsoft.com/office/2006/metadata/properties" xmlns:ns2="02ef6456-6971-40a6-83fa-6b0619ff88f9" targetNamespace="http://schemas.microsoft.com/office/2006/metadata/properties" ma:root="true" ma:fieldsID="cf05a6362b10a34dbf2f975909ab12c1" ns2:_=""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ef6456-6971-40a6-83fa-6b0619ff88f9">2275DMW4H6TN-379-22</_dlc_DocId>
    <_dlc_DocIdUrl xmlns="02ef6456-6971-40a6-83fa-6b0619ff88f9">
      <Url>http://tobb.org.tr/HukukMusavirligi/_layouts/DocIdRedir.aspx?ID=2275DMW4H6TN-379-22</Url>
      <Description>2275DMW4H6TN-379-22</Description>
    </_dlc_DocIdUrl>
  </documentManagement>
</p:properties>
</file>

<file path=customXml/itemProps1.xml><?xml version="1.0" encoding="utf-8"?>
<ds:datastoreItem xmlns:ds="http://schemas.openxmlformats.org/officeDocument/2006/customXml" ds:itemID="{33FC2389-6441-4706-950F-3FDC0C241DA3}"/>
</file>

<file path=customXml/itemProps2.xml><?xml version="1.0" encoding="utf-8"?>
<ds:datastoreItem xmlns:ds="http://schemas.openxmlformats.org/officeDocument/2006/customXml" ds:itemID="{D48A9F0D-C662-4EC5-A991-48C195DF3F4B}"/>
</file>

<file path=customXml/itemProps3.xml><?xml version="1.0" encoding="utf-8"?>
<ds:datastoreItem xmlns:ds="http://schemas.openxmlformats.org/officeDocument/2006/customXml" ds:itemID="{3243364F-B2AC-4A62-AB5A-AD55EFA986AE}"/>
</file>

<file path=customXml/itemProps4.xml><?xml version="1.0" encoding="utf-8"?>
<ds:datastoreItem xmlns:ds="http://schemas.openxmlformats.org/officeDocument/2006/customXml" ds:itemID="{618D269C-E37A-4D68-9099-FA91B65888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2026</Words>
  <Characters>11550</Characters>
  <Application>Microsoft Office Word</Application>
  <DocSecurity>0</DocSecurity>
  <Lines>96</Lines>
  <Paragraphs>27</Paragraphs>
  <ScaleCrop>false</ScaleCrop>
  <Company/>
  <LinksUpToDate>false</LinksUpToDate>
  <CharactersWithSpaces>13549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TİCARET ŞİRKETLERİNİN GÜMRÜK VE TİCARET BAKANLIĞINCA DENETLENMESİ HAKKINDA YÖNETMELİK</dc:title>
  <dc:subject/>
  <dc:creator>TOBB</dc:creator>
  <cp:keywords/>
  <dc:description/>
  <cp:lastModifiedBy>TOBB</cp:lastModifiedBy>
  <cp:revision>2</cp:revision>
  <dcterms:created xsi:type="dcterms:W3CDTF">2012-08-29T08:46:00Z</dcterms:created>
  <dcterms:modified xsi:type="dcterms:W3CDTF">2012-08-29T08:46:00Z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0x010100666B09DF9EB9D644BC9216EA7A6DEA96</vt:lpwstr>
  </property>
  <property fmtid="{D5CDD505-2E9C-101B-9397-08002B2CF9AE}" pid="3" name="_dlc_DocIdItemGuid">
    <vt:lpwstr>a0bf4e13-8968-4aa5-bfd7-ee75e39f94be</vt:lpwstr>
  </property>
</Properties>
</file>