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9" w:type="dxa"/>
        <w:jc w:val="center"/>
        <w:tblLook w:val="01E0"/>
      </w:tblPr>
      <w:tblGrid>
        <w:gridCol w:w="2931"/>
        <w:gridCol w:w="2931"/>
        <w:gridCol w:w="2927"/>
      </w:tblGrid>
      <w:tr w:rsidR="00B74E7E" w:rsidRPr="00B74E7E">
        <w:trPr>
          <w:trHeight w:val="317"/>
          <w:jc w:val="center"/>
        </w:trPr>
        <w:tc>
          <w:tcPr>
            <w:tcW w:w="2931" w:type="dxa"/>
            <w:tcBorders>
              <w:top w:val="nil"/>
              <w:left w:val="nil"/>
              <w:bottom w:val="single" w:sz="4" w:space="0" w:color="660066"/>
              <w:right w:val="nil"/>
            </w:tcBorders>
            <w:vAlign w:val="center"/>
            <w:hideMark/>
          </w:tcPr>
          <w:p w:rsidR="00B74E7E" w:rsidRPr="00B74E7E" w:rsidRDefault="00B74E7E" w:rsidP="00B74E7E">
            <w:pPr>
              <w:tabs>
                <w:tab w:val="left" w:pos="567"/>
                <w:tab w:val="center" w:pos="994"/>
                <w:tab w:val="center" w:pos="3543"/>
                <w:tab w:val="right" w:pos="6520"/>
              </w:tabs>
              <w:spacing w:after="0" w:line="240" w:lineRule="exact"/>
              <w:rPr>
                <w:rFonts w:ascii="Arial" w:eastAsia="Times New Roman" w:hAnsi="Arial" w:cs="Arial"/>
                <w:b/>
                <w:smallCaps w:val="0"/>
                <w:sz w:val="16"/>
                <w:szCs w:val="16"/>
                <w:lang w:eastAsia="tr-TR"/>
              </w:rPr>
            </w:pPr>
            <w:r w:rsidRPr="00B74E7E">
              <w:rPr>
                <w:rFonts w:ascii="Arial" w:eastAsia="Times New Roman" w:hAnsi="Arial" w:cs="Arial"/>
                <w:smallCaps w:val="0"/>
                <w:sz w:val="16"/>
                <w:szCs w:val="16"/>
                <w:lang w:eastAsia="tr-TR"/>
              </w:rPr>
              <w:t>28 Ağustos 2012 SALI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660066"/>
              <w:right w:val="nil"/>
            </w:tcBorders>
            <w:vAlign w:val="center"/>
            <w:hideMark/>
          </w:tcPr>
          <w:p w:rsidR="00B74E7E" w:rsidRPr="00B74E7E" w:rsidRDefault="00B74E7E" w:rsidP="00B74E7E">
            <w:pPr>
              <w:tabs>
                <w:tab w:val="left" w:pos="567"/>
                <w:tab w:val="center" w:pos="994"/>
                <w:tab w:val="center" w:pos="3543"/>
                <w:tab w:val="right" w:pos="6520"/>
              </w:tabs>
              <w:spacing w:after="0" w:line="240" w:lineRule="exact"/>
              <w:jc w:val="center"/>
              <w:rPr>
                <w:rFonts w:ascii="Palatino Linotype" w:eastAsia="Times New Roman" w:hAnsi="Palatino Linotype" w:cs="Times New Roman"/>
                <w:b/>
                <w:smallCaps w:val="0"/>
                <w:color w:val="800080"/>
                <w:sz w:val="24"/>
                <w:szCs w:val="24"/>
                <w:lang w:eastAsia="tr-TR"/>
              </w:rPr>
            </w:pPr>
            <w:r w:rsidRPr="00B74E7E">
              <w:rPr>
                <w:rFonts w:ascii="Palatino Linotype" w:eastAsia="Times New Roman" w:hAnsi="Palatino Linotype" w:cs="Times New Roman"/>
                <w:b/>
                <w:smallCaps w:val="0"/>
                <w:color w:val="800080"/>
                <w:sz w:val="24"/>
                <w:szCs w:val="24"/>
                <w:lang w:eastAsia="tr-TR"/>
              </w:rPr>
              <w:t>Resmî Gazete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660066"/>
              <w:right w:val="nil"/>
            </w:tcBorders>
            <w:vAlign w:val="center"/>
            <w:hideMark/>
          </w:tcPr>
          <w:p w:rsidR="00B74E7E" w:rsidRPr="00B74E7E" w:rsidRDefault="00B74E7E" w:rsidP="00B74E7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smallCaps w:val="0"/>
                <w:sz w:val="16"/>
                <w:szCs w:val="16"/>
                <w:lang w:eastAsia="tr-TR"/>
              </w:rPr>
            </w:pPr>
            <w:r w:rsidRPr="00B74E7E">
              <w:rPr>
                <w:rFonts w:ascii="Arial" w:eastAsia="Times New Roman" w:hAnsi="Arial" w:cs="Arial"/>
                <w:smallCaps w:val="0"/>
                <w:sz w:val="16"/>
                <w:szCs w:val="16"/>
                <w:lang w:eastAsia="tr-TR"/>
              </w:rPr>
              <w:t>Sayı : 28395</w:t>
            </w:r>
          </w:p>
        </w:tc>
      </w:tr>
      <w:tr w:rsidR="00B74E7E" w:rsidRPr="00B74E7E">
        <w:trPr>
          <w:trHeight w:val="480"/>
          <w:jc w:val="center"/>
        </w:trPr>
        <w:tc>
          <w:tcPr>
            <w:tcW w:w="8789" w:type="dxa"/>
            <w:gridSpan w:val="3"/>
            <w:vAlign w:val="center"/>
            <w:hideMark/>
          </w:tcPr>
          <w:p w:rsidR="00B74E7E" w:rsidRPr="00B74E7E" w:rsidRDefault="00B74E7E" w:rsidP="00B74E7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mallCaps w:val="0"/>
                <w:color w:val="000080"/>
                <w:sz w:val="18"/>
                <w:szCs w:val="18"/>
                <w:lang w:eastAsia="tr-TR"/>
              </w:rPr>
            </w:pPr>
            <w:r w:rsidRPr="00B74E7E">
              <w:rPr>
                <w:rFonts w:ascii="Arial" w:eastAsia="Times New Roman" w:hAnsi="Arial" w:cs="Arial"/>
                <w:b/>
                <w:smallCaps w:val="0"/>
                <w:color w:val="000080"/>
                <w:sz w:val="18"/>
                <w:szCs w:val="18"/>
                <w:lang w:eastAsia="tr-TR"/>
              </w:rPr>
              <w:t>YÖNETMELİK</w:t>
            </w:r>
          </w:p>
        </w:tc>
      </w:tr>
      <w:tr w:rsidR="00B74E7E" w:rsidRPr="00B74E7E">
        <w:trPr>
          <w:trHeight w:val="480"/>
          <w:jc w:val="center"/>
        </w:trPr>
        <w:tc>
          <w:tcPr>
            <w:tcW w:w="8789" w:type="dxa"/>
            <w:gridSpan w:val="3"/>
            <w:vAlign w:val="center"/>
          </w:tcPr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  <w:u w:val="single"/>
              </w:rPr>
            </w:pP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  <w:u w:val="single"/>
              </w:rPr>
              <w:t>G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  <w:u w:val="single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  <w:u w:val="single"/>
              </w:rPr>
              <w:t>mr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  <w:u w:val="single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  <w:u w:val="single"/>
              </w:rPr>
              <w:t>k ve Ticaret Bakanl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  <w:u w:val="single"/>
              </w:rPr>
              <w:t>ığı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  <w:u w:val="single"/>
              </w:rPr>
              <w:t>ndan:</w:t>
            </w:r>
          </w:p>
          <w:p w:rsidR="00B74E7E" w:rsidRPr="00B74E7E" w:rsidRDefault="00B74E7E" w:rsidP="00B74E7E">
            <w:pPr>
              <w:spacing w:before="56" w:after="0" w:line="240" w:lineRule="exact"/>
              <w:jc w:val="center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Şİ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RKETLER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İ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N YILLIK FAAL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İ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YET RAPORUNUN ASGAR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İ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İÇ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ER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İĞİ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N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İ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N</w:t>
            </w:r>
          </w:p>
          <w:p w:rsidR="00B74E7E" w:rsidRPr="00B74E7E" w:rsidRDefault="00B74E7E" w:rsidP="00B74E7E">
            <w:pPr>
              <w:spacing w:after="283" w:line="240" w:lineRule="exact"/>
              <w:jc w:val="center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BEL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İ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RLENMES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İ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HAKKINDA Y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NETMEL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İ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K</w:t>
            </w:r>
          </w:p>
          <w:p w:rsidR="00B74E7E" w:rsidRPr="00B74E7E" w:rsidRDefault="00B74E7E" w:rsidP="00B74E7E">
            <w:pPr>
              <w:spacing w:after="0" w:line="240" w:lineRule="exact"/>
              <w:jc w:val="center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B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İ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R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İ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NC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İ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B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L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M</w:t>
            </w:r>
          </w:p>
          <w:p w:rsidR="00B74E7E" w:rsidRPr="00B74E7E" w:rsidRDefault="00B74E7E" w:rsidP="00B74E7E">
            <w:pPr>
              <w:spacing w:after="85" w:line="240" w:lineRule="exact"/>
              <w:jc w:val="center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Ama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ç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, Kapsam, Dayanak ve Tan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mlar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Ama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ç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ve kapsam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1 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–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Bu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netmeli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amac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netim organ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taraf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d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zenlenecek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faaliyet raporunun asgari 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ini belirlemektir.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(2) Bu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netmelik, 13/1/2011 tarihli ve 6102 say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 Ticaret Kanununa g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 kurulan ve faaliyet g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steren anonim, limited ve sermayesi paylara b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nm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komandit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irketlerin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faaliyet raporlar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 toplulu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unda ana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irketin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faaliyet raporunu kapsar.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(3)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zel kanunlara tabi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irketlere,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zel h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 d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ışı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bu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netmelik h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 uygulan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Dayanak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2 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–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Bu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netmelik, 6102 say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Kanunun 516 nc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maddesinin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üçü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na, 518 inci maddesine, 565 inci maddesinin ikinci f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ve 610 uncu maddesine dayan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larak haz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rlanm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Tan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mlar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3 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–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(1) Bu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netmelikte ge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en;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a) Bakanl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k: G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ve Ticaret Bakanl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ığı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b) Finansal tablolar: T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rkiye Muhasebe Standartlar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ng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bulunan finansal tablolar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c) Kanun: 13/1/2011 tarihli ve 6102 say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 Ticaret Kanununu,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) Ortak: Anonim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irketlerde pay sahiplerini, limited ve sermayesi paylara b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nm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komandit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irketlerde ortaklar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d) S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zle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me: Anonim ve sermayesi paylara b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nm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komandit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irketlerde esas s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zle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meyi, limited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irketlerde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 s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zle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mesini,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e)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irket: Anonim, limited ve sermayesi paylara b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nm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komandit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irketi,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f)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st d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zey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netici: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netim organ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yeleri d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ışı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nda,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netim organ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nca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irketin faaliyetlerini do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rudan veya dolayl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olarak planlama,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netme ve kontrol etme yetkisi ve sorumlulu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 verilen ki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ileri,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g)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faaliyet raporu: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netim organ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taraf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Kanuna ve bu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netmeli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 g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 d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zenlenen,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irketin ilgili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 ili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faaliyetlerinin ak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ışı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ile her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yle finansal durumunun do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ru, eksiksiz, dolamba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z, ger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 uygun ve d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st bir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ekilde yans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ld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ığı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,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irketin geli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mesinin ve kar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lmas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muhtemel risklerin belirtildi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raporu,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)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netim organ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: Anonim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irketlerde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netim kurulunu, sermayesi paylara b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nm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komandit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irketlerde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neticiyi veya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neticileri, limited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irketlerde m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veya m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rler kurulunu,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ifade eder.</w:t>
            </w:r>
          </w:p>
          <w:p w:rsidR="00B74E7E" w:rsidRPr="00B74E7E" w:rsidRDefault="00B74E7E" w:rsidP="00B74E7E">
            <w:pPr>
              <w:spacing w:before="85" w:after="0" w:line="240" w:lineRule="exact"/>
              <w:jc w:val="center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İ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K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İ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NC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İ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B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L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M</w:t>
            </w:r>
          </w:p>
          <w:p w:rsidR="00B74E7E" w:rsidRPr="00B74E7E" w:rsidRDefault="00B74E7E" w:rsidP="00B74E7E">
            <w:pPr>
              <w:spacing w:after="85" w:line="240" w:lineRule="exact"/>
              <w:jc w:val="center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Y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ll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k Faaliyet Raporunun Haz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rlanmas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ı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Genel ilkeler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4 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–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k faaliyet raporu,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irketin ilgili hesap d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nemine ait 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lemlerinin ak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ışı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her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yle finansal durumunu,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irketin hak ve yarar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da g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zetecek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ekilde, do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ru, eksiksiz, dolamba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z, ger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 uygun ve d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st bir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ekilde yans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faaliyet raporunda, yan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lt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c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abart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yanl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kanaat uyand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c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ger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 ayk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ifadelere yer verilemez.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(2)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netim organ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faaliyet raporunu, ortaklar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irketin faaliyetleri hakk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her t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bilgiye tam ve do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ru bir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ekilde ula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mas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layacak ayr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nt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da haz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rlar.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faaliyet raporunda m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mk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olan en basit kavram ve terimler kullan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r, teredd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de neden olabilecek belirsiz ifadelerden ka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 Teknik terim kullan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lmas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gereken yerlerde, herkesin kolayca anlamas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na imkan verecek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ekilde a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klamalar yap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(3)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irketin, finansal performans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ile finansal durumunun genel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zellikleri ve kar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ya bulundu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 temel riskler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faaliyet raporunda de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erlendirilir.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irketin finansal durumuna ili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bu de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erlendirmeler finansal tablolara dayand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 Ayr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ca finansal olmayan risklere de faaliyet raporunda yer verilir.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(4)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k faaliyet raporunda;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 faaliyet ve hizmetlerinin etkin, g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venilir ve kesintisiz bir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ekilde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lmesini, muhasebe ve mali raporlama sisteminden sa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lanan bilgilerin b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üğü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tutarl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ığı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g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venilirli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ini, zaman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elde edilebilirli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ini ve g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ini sa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lamak amac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yla yap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 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kontrollerin etkinli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i, yeterlili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ve uyumlulu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 konular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a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klamalara yer verilir.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(5)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faaliyet raporunda gerekli olmas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halinde istatistiki bilgilere ve grafiklere de yer verilebilir.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lastRenderedPageBreak/>
              <w:t>Gelece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e y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nelik tahminlerin y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ll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k faaliyet raporunda belirtilmesi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5 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–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k faaliyet raporunda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irketin geli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mesine ve kar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mas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muhtemel risklere a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 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aret olunur ve bu konulara ili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netim organ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de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erlendirmesine yer verilir.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faaliyet raporunda, gelece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nelik bilgi verildi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veya tahminlerde bulunuldu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 durumlarda, bunlar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dayand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ığı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gerek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elere ve istatistiki bilgilere de yer verilmesi zorunludur.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(2)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faaliyet raporunda yer verilen gelece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nelik bilgi ve tahminler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irketin finansal durumu ve faaliyet sonu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ile uyumlu olmal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Y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ll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k faaliyet raporunda yer verilebilecek ilave bilgiler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6 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–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faaliyet raporunda, bu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netmelikte yer verilen asgari 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e ve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irketin niteli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ve konumu itibariyle ortaklar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haklar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kullanabilmesi 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bilmeleri gereken di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 bilgilere yer verilmesi zorunludur. Bu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netmelik h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mlerine ayk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olmamak kayd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yla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faaliyet raporlar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netim organ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uygun g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rd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üğü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ilave bilgilere yer verilebilir.</w:t>
            </w:r>
          </w:p>
          <w:p w:rsidR="00B74E7E" w:rsidRPr="00B74E7E" w:rsidRDefault="00B74E7E" w:rsidP="00B74E7E">
            <w:pPr>
              <w:spacing w:before="85" w:after="0" w:line="240" w:lineRule="exact"/>
              <w:jc w:val="center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ÜÇÜ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NC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B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L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M</w:t>
            </w:r>
          </w:p>
          <w:p w:rsidR="00B74E7E" w:rsidRPr="00B74E7E" w:rsidRDefault="00B74E7E" w:rsidP="00B74E7E">
            <w:pPr>
              <w:spacing w:after="85" w:line="240" w:lineRule="exact"/>
              <w:jc w:val="center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Y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ll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k Faaliyet Raporunun 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İç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eri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Y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ll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k faaliyet raporunun b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l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mleri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7 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–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faaliyet raporu a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da g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sterilen b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mlerden olu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ur: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a) Genel bilgiler,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b)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netim organ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yeleri ile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st d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zey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neticilere sa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lanan mali haklar,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c)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irketin ara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rma ve geli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tirme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malar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)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 faaliyetleri ve faaliyetlere ili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kin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nemli geli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meler,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d) Finansal durum,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e) Riskler ve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netim organ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de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erlendirmesi,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f) Di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 hususlar.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Genel bilgiler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8 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–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faaliyet raporunun genel bilgiler b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nde a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da belirtilen hususlar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yer almas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zorunludur: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a) Raporun ilgili oldu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 hesap d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nemi,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b)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irketin ticaret unvan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ticaret sicili numaras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, merkez ve varsa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ubelerine ili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ileti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im bilgileri ile varsa internet sitesinin adresi,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c)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irketin organizasyon, sermaye ve ortakl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yap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ile bunlara ili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hesap d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nemi 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erisindeki de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iklikler,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) Varsa imtiyazl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paylara ve paylar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oy haklar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ili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a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klamalar,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d)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netim organ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,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st d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zey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neticileri ve personel say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ile ilgili bilgiler,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e) Varsa;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irket genel kurulunca verilen izin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evesinde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netim organ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yelerinin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 kendisi veya ba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kas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ad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yapt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ığı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lemler ile rekabet yasa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kapsam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ndaki faaliyetleri hakk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bilgiler.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Y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netim organ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yeleri ile 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st d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zey y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neticilere sa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lanan mali haklar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9 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–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netim organ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yeleri ile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st d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zey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neticilere sa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lanan mali haklar b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nde a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da belirtilen hususlar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yer almas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zorunludur: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a) Sa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lanan huzur hakk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,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cret, prim, ikramiye, k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â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 pay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gibi mali menfaatlerin toplam tutarlar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b) Verilen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denekler, yolculuk, konaklama ve temsil giderleri ile ayni ve nakdi imk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â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nlar, sigortalar ve benzeri teminatlar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toplam tutarlar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ili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bilgiler.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irketin ara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t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rma ve geli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tirme 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ç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al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ış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malar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ı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10 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–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Bu b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mde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irketin ara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rma ve geli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tirme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malar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ile bunlar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sonu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ili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bilgilere yer verilir.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irket faaliyetleri ve faaliyetlere ili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kin 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nemli geli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meler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11 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–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k faaliyet raporunun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 faaliyetleri ve faaliyetlere ili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kin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nemli geli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meler b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nde a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da belirtilen hususlar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yer almas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zorunludur: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a)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irketin ilgili hesap d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neminde yapm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oldu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 yat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mlara ili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bilgiler,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b)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irketin 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kontrol sistemi ve 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denetim faaliyetleri hakk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bilgiler ile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netim organ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bu konudaki g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üşü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c)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irketin do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rudan veya dolayl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tirakleri ve pay oranlar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ili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bilgiler,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)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irketin iktisap etti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kendi paylar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ili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bilgiler,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d) Hesap d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nemi 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erisinde yap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lan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zel denetime ve kamu denetimine ili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a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klamalar,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e)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 aleyhine a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lan ve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irketin mali durumunu ve faaliyetlerini etkileyebilecek nitelikteki davalar ve olas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sonu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hakk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bilgiler,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f) Mevzuat h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mlerine ayk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uygulamalar nedeniyle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 ve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netim organ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yeleri hakk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uygulanan idari veya adli yapt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mlara ili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a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klamalar,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lastRenderedPageBreak/>
              <w:t>g) Ge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nemlerde belirlenen hedeflere ula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p ula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lamad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ığı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genel kurul kararlar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yerine getirilip getirilmedi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i, hedeflere ula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lamam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sa veya kararlar yerine getirilmemi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se gerek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elerine ili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bilgiler ve de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erlendirmeler,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)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 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erisinde ola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st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genel kurul toplant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yap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sa, toplant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tarihi, toplant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da al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nan kararlar ve buna ili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yap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 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lemler de d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â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hil olmak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zere ola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st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genel kurula ili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bilgiler,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h)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irketin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 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inde yapm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oldu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 ba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ğış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yard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mlar ile sosyal sorumluluk projeleri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evesinde yap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 harcamalara ili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bilgiler,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)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 toplulu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una ba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bir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irketse; h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â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kim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irketle, h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â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kim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irkete ba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bir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irketle, h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â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kim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irketin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nlendirmesiyle onun ya da ona ba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bir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irketin yarar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yapt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ığı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hukuki 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lemler ve ge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faaliyet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h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â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kim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irketin ya da ona ba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bir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irketin yarar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al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nan veya al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nmas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ka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 t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 di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er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nlemler,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i)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 toplulu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una ba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bir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irketse; (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) bendinde bahsedilen hukuki 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lemin yap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ld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ığı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veya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nlemin al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ığı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veyahut al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nmas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ka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ld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ığı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anda kendilerince bilinen hal ve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artlara g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re, her bir hukuki 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lemde uygun bir kar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edim sa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p sa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lanmad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ığı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al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nan veya al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nmas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ka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lan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nlemin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irketi zarara u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rat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p u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ratmad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ığı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,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 zarara u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ram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sa bunun denkle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tirilip denkle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tirilmedi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i.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Finansal durum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12 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–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faaliyet raporunun finansal durum b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nde a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da belirtilen hususlar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yer almas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zorunludur: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a) Finansal duruma ve faaliyet sonu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ili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netim organ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analizi ve de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erlendirmesi, planlanan faaliyetlerin ger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ekle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me derecesi, belirlenen stratejik hedefler kar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irketin durumu,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b) Ge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llarla kar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rmal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olarak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irketin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 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indeki sat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verimlili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i, gelir olu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turma kapasitesi, k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â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ığı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bor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/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 kaynak oran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ile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 faaliyetlerinin sonu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hakk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fikir verecek di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 hususlara ili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bilgiler ve ileriye d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beklentiler,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c)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irketin sermayesinin kar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ks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 kal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p kalmad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ığı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veya borca bat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olup olmad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ığı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ili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tespit ve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netim organ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de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erlendirmeleri,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) Varsa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irketin finansal yap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iyile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tirmek 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al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nmas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üşü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len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nlemler,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d) K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â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 pay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da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 politikas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ili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bilgiler ve k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â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 da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yap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lmayacaksa gerek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esi ile da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lmayan k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â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nas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 kullan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laca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ili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kin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neri.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Riskler ve y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netim organ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n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n de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erlendirmesi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13 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–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faaliyet raporunun riskler ve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netim organ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de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erlendirmesi b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nde a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da belirtilen hususlar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yer almas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zorunludur: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a) Varsa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irketin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ng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len risklere kar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uygulayaca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risk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netimi politikas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ili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bilgiler,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b) Olu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turulmu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sa riskin erken saptanmas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netimi komitesinin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malar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ve raporlar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ili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bilgiler,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c) Sat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lar, verimlilik, gelir yaratma kapasitesi, k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â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k, bor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/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 kaynak oran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benzeri konularda ileriye d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riskler.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Di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er hususlar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14 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–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faaliyet raporunun di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 hususlar b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nde, faaliyet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 sona ermesinden sonra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irkette meydana gelen ve ortaklar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n, alacakl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ve di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 ilgili ki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ve kurulu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haklar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etkileyebilecek nitelikteki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zel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nem ta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yan olaylara ili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a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klamalara yer verilmesi zorunludur.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(2) Bu b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mde ayr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ca, bu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netmelik h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mlerine ayk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olmamak kayd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yla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netim organ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uygun g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rd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üğü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ilave bilgilere de yer verilebilir.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irketler toplulu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unda ana 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irketin faaliyet raporlar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ı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15 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–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 toplulu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unda ana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irketin faaliyet raporlar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nda, bu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netmelikte yer alan di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 h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mlere ek olarak a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da belirtilen hususlar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da yer almas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zorunludur: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a) Bir sermaye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irketinin sermayesinin, do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rudan veya dolayl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olarak,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zde be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ini, onunu, yirmisini, yirmi be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ini, otuz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üçü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ellisini, altm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yedisini veya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zde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temsil eden miktarda paylar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sahip olundu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 veya paylar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bu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zdelerin alt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d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üğü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takdirde bu durum ve gerek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esi,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b) Toplulu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 d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â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hil 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letmelerin ana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 sermayesindeki paylar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hakk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bilgiler,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c) Konsolide finansal tablolar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haz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rlanmas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reci ile ilgili olarak toplulu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un 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denetim ve risk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netimi sistemlerine ili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a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klamalar,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)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netim organ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yelerinden birinin talep etmesi halinde, Kanunun 199 uncu maddesinin d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rd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ng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len raporun sonu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sm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.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Y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ll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k faaliyet raporunun sunumu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16 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–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faaliyet raporu ilgili oldu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 hesap d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neminin bitimini izleyen iki ay 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inde haz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rlan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r.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irketin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netim organ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ba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kan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yeleri taraf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imzalanarak onaylan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netim organ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yelerinden herhangi birinin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faaliyet raporunda yer alan bilgilerle ilgili farkl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te olmas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halinde, itiraz etti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hususlar gerek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eleri ile birlikte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faaliyet raporunda belirtilir.</w:t>
            </w:r>
          </w:p>
          <w:p w:rsidR="00B74E7E" w:rsidRPr="00B74E7E" w:rsidRDefault="00B74E7E" w:rsidP="00B74E7E">
            <w:pPr>
              <w:spacing w:before="85" w:after="0" w:line="240" w:lineRule="exact"/>
              <w:jc w:val="center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lastRenderedPageBreak/>
              <w:t>D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RD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NC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B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L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M</w:t>
            </w:r>
          </w:p>
          <w:p w:rsidR="00B74E7E" w:rsidRPr="00B74E7E" w:rsidRDefault="00B74E7E" w:rsidP="00B74E7E">
            <w:pPr>
              <w:spacing w:after="85" w:line="240" w:lineRule="exact"/>
              <w:jc w:val="center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Ç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e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itli ve Son H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k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mler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Ge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ç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ş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h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km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GE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Çİ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C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İ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MADDE 1 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–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2012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hesap d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nemine ait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faaliyet raporunda yer verilecek finansal bilgiler, 29/6/1956 tarihli ve 6762 say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 Ticaret Kanunu uyar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nca d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zenlenen mali tablolara dayand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Y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r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rl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k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17 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–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Bu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netmelik yay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tarihinde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üğ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 girer.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Y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r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tme</w:t>
            </w:r>
          </w:p>
          <w:p w:rsidR="00B74E7E" w:rsidRPr="00B74E7E" w:rsidRDefault="00B74E7E" w:rsidP="00B74E7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18 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–</w:t>
            </w:r>
            <w:r w:rsidRPr="00B74E7E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(1) Bu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netmelik h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mlerini G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ve Ticaret Bakan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y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B74E7E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B74E7E" w:rsidRPr="00B74E7E" w:rsidRDefault="00B74E7E" w:rsidP="00B74E7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mallCaps w:val="0"/>
                <w:color w:val="000080"/>
                <w:sz w:val="18"/>
                <w:szCs w:val="18"/>
                <w:lang w:eastAsia="tr-TR"/>
              </w:rPr>
            </w:pPr>
          </w:p>
        </w:tc>
      </w:tr>
    </w:tbl>
    <w:p w:rsidR="00A4511D" w:rsidRDefault="00A4511D"/>
    <w:sectPr w:rsidR="00A4511D" w:rsidSect="00A45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74E7E"/>
    <w:rsid w:val="00744920"/>
    <w:rsid w:val="00A4511D"/>
    <w:rsid w:val="00B74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mallCaps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1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4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 w:val="0"/>
      <w:sz w:val="24"/>
      <w:szCs w:val="24"/>
      <w:lang w:eastAsia="tr-TR"/>
    </w:rPr>
  </w:style>
  <w:style w:type="paragraph" w:customStyle="1" w:styleId="1-Baslk">
    <w:name w:val="1-Baslık"/>
    <w:rsid w:val="00B74E7E"/>
    <w:pPr>
      <w:tabs>
        <w:tab w:val="left" w:pos="566"/>
      </w:tabs>
      <w:spacing w:after="0" w:line="240" w:lineRule="auto"/>
    </w:pPr>
    <w:rPr>
      <w:rFonts w:ascii="Times New Roman" w:eastAsia="ヒラギノ明朝 Pro W3" w:hAnsi="Times" w:cs="Times New Roman"/>
      <w:smallCaps w:val="0"/>
      <w:szCs w:val="20"/>
      <w:u w:val="single"/>
    </w:rPr>
  </w:style>
  <w:style w:type="paragraph" w:customStyle="1" w:styleId="2-OrtaBaslk">
    <w:name w:val="2-Orta Baslık"/>
    <w:rsid w:val="00B74E7E"/>
    <w:pPr>
      <w:spacing w:after="0" w:line="240" w:lineRule="auto"/>
      <w:jc w:val="center"/>
    </w:pPr>
    <w:rPr>
      <w:rFonts w:ascii="Times New Roman" w:eastAsia="ヒラギノ明朝 Pro W3" w:hAnsi="Times" w:cs="Times New Roman"/>
      <w:b/>
      <w:smallCaps w:val="0"/>
      <w:sz w:val="19"/>
      <w:szCs w:val="20"/>
    </w:rPr>
  </w:style>
  <w:style w:type="paragraph" w:customStyle="1" w:styleId="3-NormalYaz">
    <w:name w:val="3-Normal Yazı"/>
    <w:rsid w:val="00B74E7E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mallCaps w:val="0"/>
      <w:sz w:val="19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66B09DF9EB9D644BC9216EA7A6DEA96" ma:contentTypeVersion="4" ma:contentTypeDescription="Yeni belge oluşturun." ma:contentTypeScope="" ma:versionID="4818b5836ac72ac8058bc2e43367fa89">
  <xsd:schema xmlns:xsd="http://www.w3.org/2001/XMLSchema" xmlns:xs="http://www.w3.org/2001/XMLSchema" xmlns:p="http://schemas.microsoft.com/office/2006/metadata/properties" xmlns:ns2="02ef6456-6971-40a6-83fa-6b0619ff88f9" targetNamespace="http://schemas.microsoft.com/office/2006/metadata/properties" ma:root="true" ma:fieldsID="cf05a6362b10a34dbf2f975909ab12c1" ns2:_=""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ef6456-6971-40a6-83fa-6b0619ff88f9">2275DMW4H6TN-379-21</_dlc_DocId>
    <_dlc_DocIdUrl xmlns="02ef6456-6971-40a6-83fa-6b0619ff88f9">
      <Url>http://tobb.org.tr/HukukMusavirligi/_layouts/DocIdRedir.aspx?ID=2275DMW4H6TN-379-21</Url>
      <Description>2275DMW4H6TN-379-21</Description>
    </_dlc_DocIdUrl>
  </documentManagement>
</p:properties>
</file>

<file path=customXml/itemProps1.xml><?xml version="1.0" encoding="utf-8"?>
<ds:datastoreItem xmlns:ds="http://schemas.openxmlformats.org/officeDocument/2006/customXml" ds:itemID="{9E2BC81D-F020-4D42-B11F-74807EC0ABD9}"/>
</file>

<file path=customXml/itemProps2.xml><?xml version="1.0" encoding="utf-8"?>
<ds:datastoreItem xmlns:ds="http://schemas.openxmlformats.org/officeDocument/2006/customXml" ds:itemID="{4272F0BF-B8B6-4CC3-B017-7E6585E79B5E}"/>
</file>

<file path=customXml/itemProps3.xml><?xml version="1.0" encoding="utf-8"?>
<ds:datastoreItem xmlns:ds="http://schemas.openxmlformats.org/officeDocument/2006/customXml" ds:itemID="{7BA7EBF8-BC0A-4B0F-A686-1BFB83509CD2}"/>
</file>

<file path=customXml/itemProps4.xml><?xml version="1.0" encoding="utf-8"?>
<ds:datastoreItem xmlns:ds="http://schemas.openxmlformats.org/officeDocument/2006/customXml" ds:itemID="{4D9F674C-E5DB-4375-AC90-DB00732D50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1919</Words>
  <Characters>10942</Characters>
  <Application>Microsoft Office Word</Application>
  <DocSecurity>0</DocSecurity>
  <Lines>91</Lines>
  <Paragraphs>25</Paragraphs>
  <ScaleCrop>false</ScaleCrop>
  <Company/>
  <LinksUpToDate>false</LinksUpToDate>
  <CharactersWithSpaces>12836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ŞİRKETLERİN YILLIK FAALİYET RAPORUNUN ASGARİ İÇERİĞİNİN BELİRLENMESİ HAKKINDA YÖNETMELİK</dc:title>
  <dc:subject/>
  <dc:creator>TOBB</dc:creator>
  <cp:keywords/>
  <dc:description/>
  <cp:lastModifiedBy>TOBB</cp:lastModifiedBy>
  <cp:revision>2</cp:revision>
  <dcterms:created xsi:type="dcterms:W3CDTF">2012-08-29T08:48:00Z</dcterms:created>
  <dcterms:modified xsi:type="dcterms:W3CDTF">2012-08-29T08:48:00Z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0x010100666B09DF9EB9D644BC9216EA7A6DEA96</vt:lpwstr>
  </property>
  <property fmtid="{D5CDD505-2E9C-101B-9397-08002B2CF9AE}" pid="3" name="_dlc_DocIdItemGuid">
    <vt:lpwstr>242b8d01-b05f-4a6f-869a-c5b970939a63</vt:lpwstr>
  </property>
</Properties>
</file>