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0C78CA" w:rsidRPr="000C78CA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0C78CA" w:rsidRPr="000C78CA" w:rsidRDefault="000C78CA" w:rsidP="000C78CA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r w:rsidRPr="000C78CA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28 Ağustos 2012 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0C78CA" w:rsidRPr="000C78CA" w:rsidRDefault="000C78CA" w:rsidP="000C78CA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</w:pPr>
            <w:r w:rsidRPr="000C78CA"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0C78CA" w:rsidRPr="000C78CA" w:rsidRDefault="000C78CA" w:rsidP="000C78C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proofErr w:type="gramStart"/>
            <w:r w:rsidRPr="000C78CA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Sayı : 28395</w:t>
            </w:r>
            <w:proofErr w:type="gramEnd"/>
          </w:p>
        </w:tc>
      </w:tr>
      <w:tr w:rsidR="000C78CA" w:rsidRPr="000C78CA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0C78CA" w:rsidRPr="000C78CA" w:rsidRDefault="000C78CA" w:rsidP="000C78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  <w:r w:rsidRPr="000C78CA"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0C78CA" w:rsidRPr="000C78CA">
        <w:trPr>
          <w:trHeight w:val="480"/>
          <w:jc w:val="center"/>
        </w:trPr>
        <w:tc>
          <w:tcPr>
            <w:tcW w:w="8789" w:type="dxa"/>
            <w:gridSpan w:val="3"/>
            <w:vAlign w:val="center"/>
          </w:tcPr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mr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k ve Ticaret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ndan:</w:t>
            </w:r>
          </w:p>
          <w:p w:rsidR="000C78CA" w:rsidRPr="000C78CA" w:rsidRDefault="000C78CA" w:rsidP="000C78CA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ANON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RKETLERDE ELEKTRON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ORTAMDA YAPILACAK</w:t>
            </w:r>
          </w:p>
          <w:p w:rsidR="000C78CA" w:rsidRPr="000C78CA" w:rsidRDefault="000C78CA" w:rsidP="000C78CA">
            <w:pPr>
              <w:spacing w:after="283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GENEL KURULLARA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Y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NETMEL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</w:p>
          <w:p w:rsidR="000C78CA" w:rsidRPr="000C78CA" w:rsidRDefault="000C78CA" w:rsidP="000C78CA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0C78CA" w:rsidRPr="000C78CA" w:rsidRDefault="000C78CA" w:rsidP="000C78CA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, Kapsam, Dayanak ve Tan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amac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anonim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lma,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neride bulunma,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 ve oy kullanmaya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usul ve esaslar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zenlenmesidir.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Kapsam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netmelik, anonim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genel kurullar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lmaya,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neride bulunmaya,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klamaya ve oy kullanmaya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usul ve esaslar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genel kurullara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lmaya ve oy vermeye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rne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ini, oyun hak sahibi veya temsilcisi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kullan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esaslar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Elektronik Genel Kurul Sisteminin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leyi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esaslar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bu sistemin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mc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klerini kapsar.</w:t>
            </w:r>
            <w:proofErr w:type="gramEnd"/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Dayanak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netmelik, </w:t>
            </w:r>
            <w:proofErr w:type="gram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13/1/2011</w:t>
            </w:r>
            <w:proofErr w:type="gram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6102 say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1527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be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inci 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dayan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 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zenlenmi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Tan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 ve k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saltmalar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 ge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en;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k: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Borsaya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kote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irket: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stanbul Menkul 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ymetler Borsas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zenlemeleri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borsaya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kote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anonim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Elektronik Genel Kurul Sistemi (EGKS): Genel kurullara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teminen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gram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28/7/1981</w:t>
            </w:r>
            <w:proofErr w:type="gram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2499 say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Sermaye Piyasas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Kanununun 10/A maddesi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paylar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Merkezi Kay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Kurulu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kayden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izlenen borsaya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kote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Merkezi Kay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Kurulu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lanacak elektronik platformu ve di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13/1/2011 tarihli ve 6102 say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1527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üçü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kuracaklar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destek hizmeti alabilecekleri bili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sistemini,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lma: Anonim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neride bulunmay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oy kullanmay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venli Elektronik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mza: </w:t>
            </w:r>
            <w:proofErr w:type="gram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15/1/2004</w:t>
            </w:r>
            <w:proofErr w:type="gram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5070 say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Elektronik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mza Kanununun 4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maddesinde tan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mlanan elektronik imzay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Hak sahibi: </w:t>
            </w:r>
            <w:proofErr w:type="gram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13/1/2011</w:t>
            </w:r>
            <w:proofErr w:type="gram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6102 say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anonim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 hakk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ger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veya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iyi,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f) Kanun: </w:t>
            </w:r>
            <w:proofErr w:type="gram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13/1/2011</w:t>
            </w:r>
            <w:proofErr w:type="gram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6102 Say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Kanununu,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g) Merkezi Kay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Kurulu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 (MKK): </w:t>
            </w:r>
            <w:proofErr w:type="gram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28/7/1981</w:t>
            </w:r>
            <w:proofErr w:type="gram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2499 say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Sermaye Piyasas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Kanununun 10/A maddesi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kurulmu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Merkezi Kay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Kurulu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Merkezi Sicil Kay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Sistemi (MERS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S): Ticaret sicili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lemlerinin elektronik ortamda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ticaret sicili kay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tescil ve ilan edilmesi gereken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eriklerin 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zenli olarak depoland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elektronik ortamda sunuldu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merkezi ortak veri taban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eren,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olu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turulan ve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netilen uygulamay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h) Tevdi eden temsilcisi: Kanunun 429 uncu maddesinde belirtilen temsilciyi,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: Kanunun 419 uncu maddesinin birinci 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olu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turulan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ifade eder.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Genel kurula elektronik ortamda kat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lmaya ve oy vermeye ili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kin esas s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me h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km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rne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 ve uygulama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5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Kanunun 1527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uygulayacak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mesinde, 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zenlendi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maddelerden biri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erisinde yer almas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zorunludur: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“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 hakk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hak sahipleri bu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lara,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1527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elektronik ortamda 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labilir.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irket, Anonim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Elektronik Ortamda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lacak Genel Kurullara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hak sahiplerinin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na,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neride bulunmalar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 oy kullanmalar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imkan tan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yacak elektronik genel kurul sistemini kurabilece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gibi bu ama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olu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turulmu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sistemlerden de hizmet sat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alabilir.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menin bu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nca, kurulmu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olan sistem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zerinden hak sahiplerinin ve temsilcilerinin, 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mlerinde belirtilen haklar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kullanabilmesi sa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”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Hak sahipleri ve temsilcilerinin elektronik ortamda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 ve oy kullanmas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imkan tan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yacak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irketler, yukar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herhangi bir de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iklik yapmadan bu metni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melerine aktarmak zorundad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melerinde bu maddede belirtilen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bulunan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irketler, yapacaklar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her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hak sahiplerinin ve temsilcilerinin genel kurula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labilmelerini ve oy verebilmelerini sa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lamak zorundad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Paylar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MKK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kayden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izlenen borsaya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kote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yapacaklar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lma, temsilci tayin etme,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neride bulunma,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 ve oy verme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 MKK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sa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lanan EGKS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zerinden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0C78CA" w:rsidRPr="000C78CA" w:rsidRDefault="000C78CA" w:rsidP="000C78CA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0C78CA" w:rsidRPr="000C78CA" w:rsidRDefault="000C78CA" w:rsidP="000C78CA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Genel Kurul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ncesi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lemler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Genel kurula ili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kin bilgi ve belgelere eri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imin sa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lanmas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6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Kanunun 1527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uygulayacak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irketlerin,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Kanun ve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gere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 olan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genel kurul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ncesi hak sahiplerinin incelemesine sunulmas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 olan belgeleri ve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ndemine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belgeleri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elektronik imzal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Kanunda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reler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 sahiplerinin eri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imine haz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bulundurmalar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zorunludur.</w:t>
            </w:r>
            <w:proofErr w:type="gramEnd"/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Genel kurula elektronik ortamda kat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lma bildirimi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7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Genel kurula elektronik ortamda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ahsen veya temsilcileri arac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lmak isteyen hak sahipleri bu tercihlerini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bildirmek zorundad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Genel kurula hak sahibi yerine temsilcinin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durumda temsilcinin kimlik bilgisinin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kaydedilmesi zorunludur. Temsilcinin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fiziki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durumlarda da yetkilendirme bu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labilir. Hak sahibi temsilci tayin ederken temsilcisini genel olarak yetkilendirebilece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gibi her bir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 maddesine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ayr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 yetkilendirebilir.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 haklar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temsilci olarak kullanan ki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temsil edilenin talimat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uygun oy kullan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hak sahipleri ad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birinci ve ikinci 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bildirimlerin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imza yetkilisince Kanunun 1526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ince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nam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kendi adlar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retilen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elektronik imzayla imzalanmas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Bildirimler, hak sahibinin talimat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uygun olarak paylar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tevdi edildi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kurulu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da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bildiren hak sahibi bu tercihini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geri alabilir.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ndeki bu talebini geriye almayan hak sahibi veya temsilcisi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fiziken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lamaz.</w:t>
            </w:r>
          </w:p>
          <w:p w:rsidR="000C78CA" w:rsidRPr="000C78CA" w:rsidRDefault="000C78CA" w:rsidP="000C78CA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ÜÇÜ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0C78CA" w:rsidRPr="000C78CA" w:rsidRDefault="000C78CA" w:rsidP="000C78CA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Genel Kurul An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ndaki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lemler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Toplant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ya kat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8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Genel kurula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m, hak sahiplerinin veya temsilcilerinin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elektronik imzalar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girmeleriyle ger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hak sahipleri ve temsilcilerine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liste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lamadan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nce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Bu liste, Kanunun 407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üçü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mleri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evesinde haz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bulunanlar listesinin olu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kullan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Toplant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elektronik ortamda a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lmas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9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fiziki ve elektronik ortamda ayn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anda 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labilmesi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ilgili mevzuattaki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yerine getirildi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temsilcisince de tespiti zorunludur.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deki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teknik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yerine getirilmesi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uzman ki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 de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revlendirilebilir.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Elektronik ortamda g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iletme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10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Hak sahibi veya temsilcisi,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lerini elektronik olarak iletir.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Oy verme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11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lanlar,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ilgili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 maddesine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oylamaya ge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ildi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bildirmesinden sonra, oylar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EGKS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zerinden kullan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Her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 maddesinin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oylamaya ge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ildi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bildirmesinden sonra ayr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ayr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oylanmas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zorunludur. Hak sahibi veya temsilci ilgili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 maddesine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olarak verdi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oyu de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tiremez. Oylama sonucu, EGKS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zerinden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iletilir.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 sonucu ve varsa elektronik ortamda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nderilen muhalefet beyan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tutana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Tutanak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12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Haz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bulunanlar listesi ve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tutana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bitiminde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temsilcisine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elektronik belge ta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maya ve saklamaya elveri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 bir ortam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erisinde de teslim edilir.</w:t>
            </w:r>
          </w:p>
          <w:p w:rsidR="000C78CA" w:rsidRPr="000C78CA" w:rsidRDefault="000C78CA" w:rsidP="000C78CA">
            <w:pPr>
              <w:spacing w:before="85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RD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0C78CA" w:rsidRPr="000C78CA" w:rsidRDefault="000C78CA" w:rsidP="000C78CA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itli ve son h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mler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irketlerin y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kleri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13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Kanunun 1527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lma ve oy kullanma sistemini uygulayacak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ile bu ama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 destek hizmeti sunacak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irketler,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maddelerinde belirtilen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 yan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belirtilen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 de yerine getirmek zorundad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r: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irketler,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EGKS'nin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ve Kanun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uygunlu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Tebli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 belirlenen esas ve usullere uygun olarak tespit ettirip tescil ve ilan ettirmek zorundad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irketler, varsa organ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temsilcisi,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temsilci ve kurumsal temsilcilerin bilgilerini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 sahiplerinin bilgisine sunar.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kendisi veya destek hizmeti ald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irketler,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lemlere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kay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genel kurula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hak sahiplerinin ve temsilcilerinin kimlik bilgilerini, elektronik ortamda, bunlar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gizlili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 ve b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layarak on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reyle saklamak zorundad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Borsaya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kote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konusu saklama zorunlulu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MKK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yerine getirilir.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Paylar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MKK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kayden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izlenen borsaya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kote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irketler, kendileri veya destek hizmeti ald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kurulu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 arac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ses naklini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aktarmak ve sistemin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leyi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ine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olarak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Tebli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 belirlenecek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leyi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esaslar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uymak zorundad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irketlerin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yi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kurmak yerine destek hizmeti al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tercih etmeleri durumunda destek hizmeti al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de birinci 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(a) bendi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r.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kaynaklanan nedenlerle hak sahiplerinin 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rayaca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zararlardan gerek destek hizmeti alan gerek destek hizmeti veren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sorumlulu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genel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mlere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belirlenir.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Elektronik genel kurul sistemindeki i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lemler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14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hak sahiplerinin elektronik ortamda genel kurula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labilmeleri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elektronik imza ile giri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yapmalar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gereklidir.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(2) EGKS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zerinden olu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turulan belgeler;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turan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yeler,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neticileri ve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temsilcisi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elektronik imza ile de imzalanabilir.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Bakanl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ığı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d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zenleme yetkisi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15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uygulanmas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ve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EGKS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nin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gereken teknik ve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venlik kriterlerine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usul ve esaslar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bir Tebli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h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km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GE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MADDE 1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5 inci maddenin birinci 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belirtilen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de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inin, paylar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MKK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kayden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izlenen borsaya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kote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irketlerce,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girmesinden sonra yapacaklar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ilk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zorunludur. Bu esas 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 de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ilk genel kurulda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olmas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girdi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tarih itibariyle hak sahiplerinin genel kurul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lmalar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gerekli olan sistemin kurulmas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hak sahiplerine elektronik ortamda kat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 imkan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zorunlulu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 ortadan kald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rmaz.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a, genel kurula ili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belgelerin EGKS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ndan </w:t>
            </w:r>
            <w:proofErr w:type="spell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MERS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’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proofErr w:type="spell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elektronik ortamda aktar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uygulamas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kadar genel kurul belgeleri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bitiminde, toplant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ndan,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temsilcisinin kurumsal elektronik posta adresine veya Kay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Elektronik Posta hesab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nderilir veya elektronik belge ta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maya ve saklamaya elveri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 bir ortam 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Bakanl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temsilcisine teslim edilir.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tarihinden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nce, 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yap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kurullara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uygulanmaz.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16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netmelik </w:t>
            </w:r>
            <w:proofErr w:type="gramStart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1/10/2012</w:t>
            </w:r>
            <w:proofErr w:type="gramEnd"/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girer.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tme</w:t>
            </w:r>
          </w:p>
          <w:p w:rsidR="000C78CA" w:rsidRPr="000C78CA" w:rsidRDefault="000C78CA" w:rsidP="000C78CA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17 </w:t>
            </w:r>
            <w:r w:rsidRPr="000C78CA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 G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0C78CA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0C78CA" w:rsidRPr="000C78CA" w:rsidRDefault="000C78CA" w:rsidP="000C78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</w:p>
        </w:tc>
      </w:tr>
    </w:tbl>
    <w:p w:rsidR="00A4511D" w:rsidRDefault="00A4511D"/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8CA"/>
    <w:rsid w:val="000B433F"/>
    <w:rsid w:val="000C78CA"/>
    <w:rsid w:val="00A4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tr-TR"/>
    </w:rPr>
  </w:style>
  <w:style w:type="paragraph" w:customStyle="1" w:styleId="1-Baslk">
    <w:name w:val="1-Baslık"/>
    <w:rsid w:val="000C78CA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mallCaps w:val="0"/>
      <w:szCs w:val="20"/>
      <w:u w:val="single"/>
    </w:rPr>
  </w:style>
  <w:style w:type="paragraph" w:customStyle="1" w:styleId="2-OrtaBaslk">
    <w:name w:val="2-Orta Baslık"/>
    <w:rsid w:val="000C78CA"/>
    <w:pPr>
      <w:spacing w:after="0" w:line="240" w:lineRule="auto"/>
      <w:jc w:val="center"/>
    </w:pPr>
    <w:rPr>
      <w:rFonts w:ascii="Times New Roman" w:eastAsia="ヒラギノ明朝 Pro W3" w:hAnsi="Times" w:cs="Times New Roman"/>
      <w:b/>
      <w:smallCaps w:val="0"/>
      <w:sz w:val="19"/>
      <w:szCs w:val="20"/>
    </w:rPr>
  </w:style>
  <w:style w:type="paragraph" w:customStyle="1" w:styleId="3-NormalYaz">
    <w:name w:val="3-Normal Yazı"/>
    <w:rsid w:val="000C78CA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mallCaps w:val="0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6B09DF9EB9D644BC9216EA7A6DEA96" ma:contentTypeVersion="4" ma:contentTypeDescription="Yeni belge oluşturun." ma:contentTypeScope="" ma:versionID="4818b5836ac72ac8058bc2e43367fa89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2275DMW4H6TN-379-20</_dlc_DocId>
    <_dlc_DocIdUrl xmlns="02ef6456-6971-40a6-83fa-6b0619ff88f9">
      <Url>http://tobb.org.tr/HukukMusavirligi/_layouts/DocIdRedir.aspx?ID=2275DMW4H6TN-379-20</Url>
      <Description>2275DMW4H6TN-379-20</Description>
    </_dlc_DocIdUrl>
  </documentManagement>
</p:properties>
</file>

<file path=customXml/itemProps1.xml><?xml version="1.0" encoding="utf-8"?>
<ds:datastoreItem xmlns:ds="http://schemas.openxmlformats.org/officeDocument/2006/customXml" ds:itemID="{BA3D9F44-6BA2-4C3A-871B-65EA88C1CE79}"/>
</file>

<file path=customXml/itemProps2.xml><?xml version="1.0" encoding="utf-8"?>
<ds:datastoreItem xmlns:ds="http://schemas.openxmlformats.org/officeDocument/2006/customXml" ds:itemID="{68D8A84F-1AE1-4FFF-82BA-CE10F9F658D3}"/>
</file>

<file path=customXml/itemProps3.xml><?xml version="1.0" encoding="utf-8"?>
<ds:datastoreItem xmlns:ds="http://schemas.openxmlformats.org/officeDocument/2006/customXml" ds:itemID="{E0993C6A-EA48-4465-AAC9-A802DA8AEB72}"/>
</file>

<file path=customXml/itemProps4.xml><?xml version="1.0" encoding="utf-8"?>
<ds:datastoreItem xmlns:ds="http://schemas.openxmlformats.org/officeDocument/2006/customXml" ds:itemID="{13B588EC-1D82-4D17-9B87-24E238479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1850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ŞİRKETLERDE ELEKTRONİK ORTAMDA YAPILACAK GENEL KURULLARA İLİŞKİN YÖNETMELİK</dc:title>
  <dc:subject/>
  <dc:creator>TOBB</dc:creator>
  <cp:keywords/>
  <dc:description/>
  <cp:lastModifiedBy>TOBB</cp:lastModifiedBy>
  <cp:revision>2</cp:revision>
  <dcterms:created xsi:type="dcterms:W3CDTF">2012-08-29T08:49:00Z</dcterms:created>
  <dcterms:modified xsi:type="dcterms:W3CDTF">2012-08-29T08:49:00Z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0x010100666B09DF9EB9D644BC9216EA7A6DEA96</vt:lpwstr>
  </property>
  <property fmtid="{D5CDD505-2E9C-101B-9397-08002B2CF9AE}" pid="3" name="_dlc_DocIdItemGuid">
    <vt:lpwstr>bcf3eafc-aed1-4eef-bee3-da1bcbce94e2</vt:lpwstr>
  </property>
</Properties>
</file>