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2C1D31" w:rsidRPr="002C1D31">
        <w:trPr>
          <w:trHeight w:val="317"/>
          <w:jc w:val="center"/>
        </w:trPr>
        <w:tc>
          <w:tcPr>
            <w:tcW w:w="2931" w:type="dxa"/>
            <w:tcBorders>
              <w:top w:val="nil"/>
              <w:left w:val="nil"/>
              <w:bottom w:val="single" w:sz="4" w:space="0" w:color="660066"/>
              <w:right w:val="nil"/>
            </w:tcBorders>
            <w:vAlign w:val="center"/>
            <w:hideMark/>
          </w:tcPr>
          <w:p w:rsidR="002C1D31" w:rsidRPr="002C1D31" w:rsidRDefault="002C1D31" w:rsidP="002C1D31">
            <w:pPr>
              <w:tabs>
                <w:tab w:val="left" w:pos="567"/>
                <w:tab w:val="center" w:pos="994"/>
                <w:tab w:val="center" w:pos="3543"/>
                <w:tab w:val="right" w:pos="6520"/>
              </w:tabs>
              <w:spacing w:after="0" w:line="240" w:lineRule="exact"/>
              <w:rPr>
                <w:rFonts w:ascii="Arial" w:eastAsia="Times New Roman" w:hAnsi="Arial" w:cs="Arial"/>
                <w:b/>
                <w:smallCaps w:val="0"/>
                <w:sz w:val="16"/>
                <w:szCs w:val="16"/>
                <w:lang w:eastAsia="tr-TR"/>
              </w:rPr>
            </w:pPr>
            <w:r w:rsidRPr="002C1D31">
              <w:rPr>
                <w:rFonts w:ascii="Arial" w:eastAsia="Times New Roman" w:hAnsi="Arial" w:cs="Arial"/>
                <w:smallCaps w:val="0"/>
                <w:sz w:val="16"/>
                <w:szCs w:val="16"/>
                <w:lang w:eastAsia="tr-TR"/>
              </w:rPr>
              <w:t>29 Eylül 2012 CUMARTESİ</w:t>
            </w:r>
          </w:p>
        </w:tc>
        <w:tc>
          <w:tcPr>
            <w:tcW w:w="2931" w:type="dxa"/>
            <w:tcBorders>
              <w:top w:val="nil"/>
              <w:left w:val="nil"/>
              <w:bottom w:val="single" w:sz="4" w:space="0" w:color="660066"/>
              <w:right w:val="nil"/>
            </w:tcBorders>
            <w:vAlign w:val="center"/>
            <w:hideMark/>
          </w:tcPr>
          <w:p w:rsidR="002C1D31" w:rsidRPr="002C1D31" w:rsidRDefault="002C1D31" w:rsidP="002C1D31">
            <w:pPr>
              <w:tabs>
                <w:tab w:val="left" w:pos="567"/>
                <w:tab w:val="center" w:pos="994"/>
                <w:tab w:val="center" w:pos="3543"/>
                <w:tab w:val="right" w:pos="6520"/>
              </w:tabs>
              <w:spacing w:after="0" w:line="240" w:lineRule="exact"/>
              <w:jc w:val="center"/>
              <w:rPr>
                <w:rFonts w:ascii="Palatino Linotype" w:eastAsia="Times New Roman" w:hAnsi="Palatino Linotype" w:cs="Times New Roman"/>
                <w:b/>
                <w:smallCaps w:val="0"/>
                <w:color w:val="800080"/>
                <w:sz w:val="24"/>
                <w:szCs w:val="24"/>
                <w:lang w:eastAsia="tr-TR"/>
              </w:rPr>
            </w:pPr>
            <w:r w:rsidRPr="002C1D31">
              <w:rPr>
                <w:rFonts w:ascii="Palatino Linotype" w:eastAsia="Times New Roman" w:hAnsi="Palatino Linotype" w:cs="Times New Roman"/>
                <w:b/>
                <w:smallCaps w:val="0"/>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2C1D31" w:rsidRPr="002C1D31" w:rsidRDefault="002C1D31" w:rsidP="002C1D31">
            <w:pPr>
              <w:spacing w:before="100" w:beforeAutospacing="1" w:after="100" w:afterAutospacing="1" w:line="240" w:lineRule="auto"/>
              <w:jc w:val="right"/>
              <w:rPr>
                <w:rFonts w:ascii="Arial" w:eastAsia="Times New Roman" w:hAnsi="Arial" w:cs="Arial"/>
                <w:b/>
                <w:smallCaps w:val="0"/>
                <w:sz w:val="16"/>
                <w:szCs w:val="16"/>
                <w:lang w:eastAsia="tr-TR"/>
              </w:rPr>
            </w:pPr>
            <w:r w:rsidRPr="002C1D31">
              <w:rPr>
                <w:rFonts w:ascii="Arial" w:eastAsia="Times New Roman" w:hAnsi="Arial" w:cs="Arial"/>
                <w:smallCaps w:val="0"/>
                <w:sz w:val="16"/>
                <w:szCs w:val="16"/>
                <w:lang w:eastAsia="tr-TR"/>
              </w:rPr>
              <w:t>Sayı : 28426</w:t>
            </w:r>
          </w:p>
        </w:tc>
      </w:tr>
      <w:tr w:rsidR="002C1D31" w:rsidRPr="002C1D31">
        <w:trPr>
          <w:trHeight w:val="480"/>
          <w:jc w:val="center"/>
        </w:trPr>
        <w:tc>
          <w:tcPr>
            <w:tcW w:w="8789" w:type="dxa"/>
            <w:gridSpan w:val="3"/>
            <w:vAlign w:val="center"/>
            <w:hideMark/>
          </w:tcPr>
          <w:p w:rsidR="002C1D31" w:rsidRPr="002C1D31" w:rsidRDefault="002C1D31" w:rsidP="002C1D31">
            <w:pPr>
              <w:spacing w:before="100" w:beforeAutospacing="1" w:after="100" w:afterAutospacing="1" w:line="240" w:lineRule="auto"/>
              <w:jc w:val="center"/>
              <w:rPr>
                <w:rFonts w:ascii="Arial" w:eastAsia="Times New Roman" w:hAnsi="Arial" w:cs="Arial"/>
                <w:b/>
                <w:smallCaps w:val="0"/>
                <w:color w:val="000080"/>
                <w:sz w:val="18"/>
                <w:szCs w:val="18"/>
                <w:lang w:eastAsia="tr-TR"/>
              </w:rPr>
            </w:pPr>
            <w:r w:rsidRPr="002C1D31">
              <w:rPr>
                <w:rFonts w:ascii="Arial" w:eastAsia="Times New Roman" w:hAnsi="Arial" w:cs="Arial"/>
                <w:b/>
                <w:smallCaps w:val="0"/>
                <w:color w:val="000080"/>
                <w:sz w:val="18"/>
                <w:szCs w:val="18"/>
                <w:lang w:eastAsia="tr-TR"/>
              </w:rPr>
              <w:t>YÖNETMELİK</w:t>
            </w:r>
          </w:p>
        </w:tc>
      </w:tr>
      <w:tr w:rsidR="002C1D31" w:rsidRPr="002C1D31">
        <w:trPr>
          <w:trHeight w:val="480"/>
          <w:jc w:val="center"/>
        </w:trPr>
        <w:tc>
          <w:tcPr>
            <w:tcW w:w="8789" w:type="dxa"/>
            <w:gridSpan w:val="3"/>
            <w:vAlign w:val="center"/>
          </w:tcPr>
          <w:p w:rsidR="002C1D31" w:rsidRPr="002C1D31" w:rsidRDefault="002C1D31" w:rsidP="002C1D31">
            <w:pPr>
              <w:tabs>
                <w:tab w:val="left" w:pos="566"/>
              </w:tabs>
              <w:spacing w:after="0" w:line="240" w:lineRule="exact"/>
              <w:ind w:firstLine="566"/>
              <w:rPr>
                <w:rFonts w:ascii="Times New Roman" w:eastAsia="ヒラギノ明朝 Pro W3" w:hAnsi="Times" w:cs="Times New Roman"/>
                <w:smallCaps w:val="0"/>
                <w:sz w:val="18"/>
                <w:szCs w:val="18"/>
                <w:u w:val="single"/>
              </w:rPr>
            </w:pPr>
            <w:r w:rsidRPr="002C1D31">
              <w:rPr>
                <w:rFonts w:ascii="Times New Roman" w:eastAsia="ヒラギノ明朝 Pro W3" w:hAnsi="Times" w:cs="Times New Roman"/>
                <w:smallCaps w:val="0"/>
                <w:sz w:val="18"/>
                <w:szCs w:val="18"/>
                <w:u w:val="single"/>
              </w:rPr>
              <w:t>T</w:t>
            </w:r>
            <w:r w:rsidRPr="002C1D31">
              <w:rPr>
                <w:rFonts w:ascii="Times New Roman" w:eastAsia="ヒラギノ明朝 Pro W3" w:hAnsi="Times" w:cs="Times"/>
                <w:smallCaps w:val="0"/>
                <w:sz w:val="18"/>
                <w:szCs w:val="18"/>
                <w:u w:val="single"/>
              </w:rPr>
              <w:t>ü</w:t>
            </w:r>
            <w:r w:rsidRPr="002C1D31">
              <w:rPr>
                <w:rFonts w:ascii="Times New Roman" w:eastAsia="ヒラギノ明朝 Pro W3" w:hAnsi="Times" w:cs="Times New Roman"/>
                <w:smallCaps w:val="0"/>
                <w:sz w:val="18"/>
                <w:szCs w:val="18"/>
                <w:u w:val="single"/>
              </w:rPr>
              <w:t>rkiye Odalar ve Borsalar Birli</w:t>
            </w:r>
            <w:r w:rsidRPr="002C1D31">
              <w:rPr>
                <w:rFonts w:ascii="Times New Roman" w:eastAsia="ヒラギノ明朝 Pro W3" w:hAnsi="Times" w:cs="Times"/>
                <w:smallCaps w:val="0"/>
                <w:sz w:val="18"/>
                <w:szCs w:val="18"/>
                <w:u w:val="single"/>
              </w:rPr>
              <w:t>ğ</w:t>
            </w:r>
            <w:r w:rsidRPr="002C1D31">
              <w:rPr>
                <w:rFonts w:ascii="Times New Roman" w:eastAsia="ヒラギノ明朝 Pro W3" w:hAnsi="Times" w:cs="Times New Roman"/>
                <w:smallCaps w:val="0"/>
                <w:sz w:val="18"/>
                <w:szCs w:val="18"/>
                <w:u w:val="single"/>
              </w:rPr>
              <w:t>inden:</w:t>
            </w:r>
          </w:p>
          <w:p w:rsidR="002C1D31" w:rsidRPr="002C1D31" w:rsidRDefault="002C1D31" w:rsidP="002C1D31">
            <w:pPr>
              <w:spacing w:before="56" w:after="0" w:line="240" w:lineRule="exact"/>
              <w:jc w:val="center"/>
              <w:rPr>
                <w:rFonts w:ascii="Times New Roman" w:eastAsia="ヒラギノ明朝 Pro W3" w:hAnsi="Times" w:cs="Times New Roman"/>
                <w:b/>
                <w:smallCaps w:val="0"/>
                <w:sz w:val="18"/>
                <w:szCs w:val="18"/>
              </w:rPr>
            </w:pPr>
            <w:r w:rsidRPr="002C1D31">
              <w:rPr>
                <w:rFonts w:ascii="Times New Roman" w:eastAsia="ヒラギノ明朝 Pro W3" w:hAnsi="Times" w:cs="Times New Roman"/>
                <w:b/>
                <w:smallCaps w:val="0"/>
                <w:sz w:val="18"/>
                <w:szCs w:val="18"/>
              </w:rPr>
              <w:t>ODALARDA MESLEKLER</w:t>
            </w:r>
            <w:r w:rsidRPr="002C1D31">
              <w:rPr>
                <w:rFonts w:ascii="Times New Roman" w:eastAsia="ヒラギノ明朝 Pro W3" w:hAnsi="Times" w:cs="Times"/>
                <w:b/>
                <w:smallCaps w:val="0"/>
                <w:sz w:val="18"/>
                <w:szCs w:val="18"/>
              </w:rPr>
              <w:t>İ</w:t>
            </w:r>
            <w:r w:rsidRPr="002C1D31">
              <w:rPr>
                <w:rFonts w:ascii="Times New Roman" w:eastAsia="ヒラギノ明朝 Pro W3" w:hAnsi="Times" w:cs="Times New Roman"/>
                <w:b/>
                <w:smallCaps w:val="0"/>
                <w:sz w:val="18"/>
                <w:szCs w:val="18"/>
              </w:rPr>
              <w:t>N GRUPLANDIRILMASI HAKKINDA</w:t>
            </w:r>
          </w:p>
          <w:p w:rsidR="002C1D31" w:rsidRPr="002C1D31" w:rsidRDefault="002C1D31" w:rsidP="002C1D31">
            <w:pPr>
              <w:spacing w:after="0" w:line="240" w:lineRule="exact"/>
              <w:jc w:val="center"/>
              <w:rPr>
                <w:rFonts w:ascii="Times New Roman" w:eastAsia="ヒラギノ明朝 Pro W3" w:hAnsi="Times" w:cs="Times New Roman"/>
                <w:b/>
                <w:smallCaps w:val="0"/>
                <w:sz w:val="18"/>
                <w:szCs w:val="18"/>
              </w:rPr>
            </w:pPr>
            <w:r w:rsidRPr="002C1D31">
              <w:rPr>
                <w:rFonts w:ascii="Times New Roman" w:eastAsia="ヒラギノ明朝 Pro W3" w:hAnsi="Times" w:cs="Times New Roman"/>
                <w:b/>
                <w:smallCaps w:val="0"/>
                <w:sz w:val="18"/>
                <w:szCs w:val="18"/>
              </w:rPr>
              <w:t>Y</w:t>
            </w:r>
            <w:r w:rsidRPr="002C1D31">
              <w:rPr>
                <w:rFonts w:ascii="Times New Roman" w:eastAsia="ヒラギノ明朝 Pro W3" w:hAnsi="Times" w:cs="Times"/>
                <w:b/>
                <w:smallCaps w:val="0"/>
                <w:sz w:val="18"/>
                <w:szCs w:val="18"/>
              </w:rPr>
              <w:t>Ö</w:t>
            </w:r>
            <w:r w:rsidRPr="002C1D31">
              <w:rPr>
                <w:rFonts w:ascii="Times New Roman" w:eastAsia="ヒラギノ明朝 Pro W3" w:hAnsi="Times" w:cs="Times New Roman"/>
                <w:b/>
                <w:smallCaps w:val="0"/>
                <w:sz w:val="18"/>
                <w:szCs w:val="18"/>
              </w:rPr>
              <w:t>NETMEL</w:t>
            </w:r>
            <w:r w:rsidRPr="002C1D31">
              <w:rPr>
                <w:rFonts w:ascii="Times New Roman" w:eastAsia="ヒラギノ明朝 Pro W3" w:hAnsi="Times" w:cs="Times"/>
                <w:b/>
                <w:smallCaps w:val="0"/>
                <w:sz w:val="18"/>
                <w:szCs w:val="18"/>
              </w:rPr>
              <w:t>İ</w:t>
            </w:r>
            <w:r w:rsidRPr="002C1D31">
              <w:rPr>
                <w:rFonts w:ascii="Times New Roman" w:eastAsia="ヒラギノ明朝 Pro W3" w:hAnsi="Times" w:cs="Times New Roman"/>
                <w:b/>
                <w:smallCaps w:val="0"/>
                <w:sz w:val="18"/>
                <w:szCs w:val="18"/>
              </w:rPr>
              <w:t>KTE DE</w:t>
            </w:r>
            <w:r w:rsidRPr="002C1D31">
              <w:rPr>
                <w:rFonts w:ascii="Times New Roman" w:eastAsia="ヒラギノ明朝 Pro W3" w:hAnsi="Times" w:cs="Times"/>
                <w:b/>
                <w:smallCaps w:val="0"/>
                <w:sz w:val="18"/>
                <w:szCs w:val="18"/>
              </w:rPr>
              <w:t>ĞİŞİ</w:t>
            </w:r>
            <w:r w:rsidRPr="002C1D31">
              <w:rPr>
                <w:rFonts w:ascii="Times New Roman" w:eastAsia="ヒラギノ明朝 Pro W3" w:hAnsi="Times" w:cs="Times New Roman"/>
                <w:b/>
                <w:smallCaps w:val="0"/>
                <w:sz w:val="18"/>
                <w:szCs w:val="18"/>
              </w:rPr>
              <w:t>KL</w:t>
            </w:r>
            <w:r w:rsidRPr="002C1D31">
              <w:rPr>
                <w:rFonts w:ascii="Times New Roman" w:eastAsia="ヒラギノ明朝 Pro W3" w:hAnsi="Times" w:cs="Times"/>
                <w:b/>
                <w:smallCaps w:val="0"/>
                <w:sz w:val="18"/>
                <w:szCs w:val="18"/>
              </w:rPr>
              <w:t>İ</w:t>
            </w:r>
            <w:r w:rsidRPr="002C1D31">
              <w:rPr>
                <w:rFonts w:ascii="Times New Roman" w:eastAsia="ヒラギノ明朝 Pro W3" w:hAnsi="Times" w:cs="Times New Roman"/>
                <w:b/>
                <w:smallCaps w:val="0"/>
                <w:sz w:val="18"/>
                <w:szCs w:val="18"/>
              </w:rPr>
              <w:t>K YAPILMASINA</w:t>
            </w:r>
          </w:p>
          <w:p w:rsidR="002C1D31" w:rsidRPr="002C1D31" w:rsidRDefault="002C1D31" w:rsidP="002C1D31">
            <w:pPr>
              <w:spacing w:after="226" w:line="240" w:lineRule="exact"/>
              <w:jc w:val="center"/>
              <w:rPr>
                <w:rFonts w:ascii="Times New Roman" w:eastAsia="ヒラギノ明朝 Pro W3" w:hAnsi="Times" w:cs="Times New Roman"/>
                <w:b/>
                <w:smallCaps w:val="0"/>
                <w:sz w:val="18"/>
                <w:szCs w:val="18"/>
              </w:rPr>
            </w:pPr>
            <w:r w:rsidRPr="002C1D31">
              <w:rPr>
                <w:rFonts w:ascii="Times New Roman" w:eastAsia="ヒラギノ明朝 Pro W3" w:hAnsi="Times" w:cs="Times New Roman"/>
                <w:b/>
                <w:smallCaps w:val="0"/>
                <w:sz w:val="18"/>
                <w:szCs w:val="18"/>
              </w:rPr>
              <w:t>DA</w:t>
            </w:r>
            <w:r w:rsidRPr="002C1D31">
              <w:rPr>
                <w:rFonts w:ascii="Times New Roman" w:eastAsia="ヒラギノ明朝 Pro W3" w:hAnsi="Times" w:cs="Times"/>
                <w:b/>
                <w:smallCaps w:val="0"/>
                <w:sz w:val="18"/>
                <w:szCs w:val="18"/>
              </w:rPr>
              <w:t>İ</w:t>
            </w:r>
            <w:r w:rsidRPr="002C1D31">
              <w:rPr>
                <w:rFonts w:ascii="Times New Roman" w:eastAsia="ヒラギノ明朝 Pro W3" w:hAnsi="Times" w:cs="Times New Roman"/>
                <w:b/>
                <w:smallCaps w:val="0"/>
                <w:sz w:val="18"/>
                <w:szCs w:val="18"/>
              </w:rPr>
              <w:t>R Y</w:t>
            </w:r>
            <w:r w:rsidRPr="002C1D31">
              <w:rPr>
                <w:rFonts w:ascii="Times New Roman" w:eastAsia="ヒラギノ明朝 Pro W3" w:hAnsi="Times" w:cs="Times"/>
                <w:b/>
                <w:smallCaps w:val="0"/>
                <w:sz w:val="18"/>
                <w:szCs w:val="18"/>
              </w:rPr>
              <w:t>Ö</w:t>
            </w:r>
            <w:r w:rsidRPr="002C1D31">
              <w:rPr>
                <w:rFonts w:ascii="Times New Roman" w:eastAsia="ヒラギノ明朝 Pro W3" w:hAnsi="Times" w:cs="Times New Roman"/>
                <w:b/>
                <w:smallCaps w:val="0"/>
                <w:sz w:val="18"/>
                <w:szCs w:val="18"/>
              </w:rPr>
              <w:t>NETMEL</w:t>
            </w:r>
            <w:r w:rsidRPr="002C1D31">
              <w:rPr>
                <w:rFonts w:ascii="Times New Roman" w:eastAsia="ヒラギノ明朝 Pro W3" w:hAnsi="Times" w:cs="Times"/>
                <w:b/>
                <w:smallCaps w:val="0"/>
                <w:sz w:val="18"/>
                <w:szCs w:val="18"/>
              </w:rPr>
              <w:t>İ</w:t>
            </w:r>
            <w:r w:rsidRPr="002C1D31">
              <w:rPr>
                <w:rFonts w:ascii="Times New Roman" w:eastAsia="ヒラギノ明朝 Pro W3" w:hAnsi="Times" w:cs="Times New Roman"/>
                <w:b/>
                <w:smallCaps w:val="0"/>
                <w:sz w:val="18"/>
                <w:szCs w:val="18"/>
              </w:rPr>
              <w:t>K</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b/>
                <w:bCs/>
                <w:smallCaps w:val="0"/>
                <w:sz w:val="18"/>
                <w:szCs w:val="18"/>
              </w:rPr>
              <w:t>MADDE 1 –</w:t>
            </w:r>
            <w:r w:rsidRPr="002C1D31">
              <w:rPr>
                <w:rFonts w:ascii="Times New Roman" w:eastAsia="Times New Roman" w:hAnsi="Times New Roman" w:cs="Times New Roman"/>
                <w:smallCaps w:val="0"/>
                <w:sz w:val="18"/>
                <w:szCs w:val="18"/>
              </w:rPr>
              <w:t xml:space="preserve"> 19/1/2005 tarihli ve 25705 sayılı Resmî Gazete’de yayımlanan Odalarda Mesleklerin Gruplandırılması Hakkında Yönetmeliğin 6 ncı maddesinin dördüncü ve beşinci fıkraları aşağıdaki şekilde değiştirilmiş ve altıncı fıkrası yürürlükten kaldırılmıştır.</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“Rehberin dayandığı esaslar uyarınca benzer meslekler birleştirilmek suretiyle meslek grubu oluşturulabilir. Ancak, aynı meslekle iştigal eden üyeler farklı meslek gruplarına dâhil edilemez.”</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“Birden fazla meslekle iştigal eden üyelerin esas iştigal konusunun tespitine ilişkin kriterler Birlik tarafından belirlenir.”</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b/>
                <w:smallCaps w:val="0"/>
                <w:sz w:val="18"/>
                <w:szCs w:val="18"/>
              </w:rPr>
              <w:t xml:space="preserve">MADDE 2 – </w:t>
            </w:r>
            <w:r w:rsidRPr="002C1D31">
              <w:rPr>
                <w:rFonts w:ascii="Times New Roman" w:eastAsia="Times New Roman" w:hAnsi="Times New Roman" w:cs="Times New Roman"/>
                <w:smallCaps w:val="0"/>
                <w:sz w:val="18"/>
                <w:szCs w:val="18"/>
              </w:rPr>
              <w:t>Aynı Yönetmeliğin geçici 3 üncü maddesinin üçüncü ve altıncı fıkraları aşağıdaki şekilde değiştirilmiş ve maddeye aşağıdaki fıkra eklenmiştir.</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“Birlik, bu madde uyarınca tespit edilen faaliyet kodlarını; Kanunun 10 uncu maddesi uyarınca meslek gruplarından ve seçmen listelerinden silinen üyeler ile münfesih olanlar hariç diğer üyelere tebliğ eder. Faaliyet kodu değiştirilen üye bu karara karşı tebellüğ tarihinden itibaren on gün içinde Birliğe itiraz edebilir. Birlik, üyenin itirazına ilişkin gerekçeli kararını bir ay içinde üyeye bildirir. Süresinde itiraz edilmeyen ve itiraz üzerine Birlik tarafından verilen kararlar kesindir.”</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“Kanunun 10 uncu maddesi uyarınca meslek gruplarından ve seçmen listelerinden silinmiş bulunan ve kendilerine faaliyet kodu tebliğ edilmemiş olan üyelerden, Kanunda belirtilen yükümlülüklerini yerine getirenlere bu madde uyarınca belirlenen ve Birlik tarafından hazırlanan veri tabanında yer alan faaliyet kodu, kayıtlı oldukları oda tarafından kendilerine elden tebliğ edilir. Bu üye, ilgili meslek grupları ile seçmen listelerine dâhil edilir. Üye, faaliyet kodunun tebliğ tarihinden itibaren on gün içinde Birliğe itiraz edebilir. Birlik, üyenin itirazına ilişkin gerekçeli kararını bir ay içinde üyeye bildirir. Birlik tarafından faaliyet kodunun değiştirilmesine karar verilmesi halinde; oda tarafından üyenin faaliyet kodu ile gerekmesi halinde meslek grubu değiştirilir. Süresinde itiraz edilmeyen ve itiraz üzerine Birlik tarafından verilen kararlar kesindir.”</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“Bu madde uyarınca Birlik tarafından yapılacak tebligatlar hakkında 11 inci madde hükmü uygulanmaz. Bu madde uyarınca yapılacak tebligatlar yazılı olarak posta, kargo veya kurye aracılığıyla üyenin bilinen en son adresine gönderilir. Adresinde bulunamayan üyelerin kayıtlı adresine posta, kargo veya kurye aracılığıyla ikinci kez yazılı tebligat yapılır. Ayrıca bu üyelere ilişkin faaliyet kodları Birliğin resmi internet sitesinde ilanen yayımlanır ve bu husus yurt düzeyinde dağıtımı yapılan en az üç gazeteye verilecek ilan ile duyurulur. Bu şekilde yapılan tebligat, muhataba yapılmış sayılır. Üye, internet sitesinde yapılan ilan tarihinden itibaren yedi gün sonra başlamak üzere, on gün içinde bu madde uyarınca Birliğe itiraz edebilir. Süresinde itiraz edilmeyen ve itiraz üzerine Birlik tarafından verilen kararlar kesindir.”</w:t>
            </w:r>
          </w:p>
          <w:p w:rsidR="002C1D31" w:rsidRPr="002C1D31" w:rsidRDefault="002C1D31" w:rsidP="002C1D31">
            <w:pPr>
              <w:tabs>
                <w:tab w:val="left" w:pos="566"/>
              </w:tabs>
              <w:spacing w:after="0"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b/>
                <w:smallCaps w:val="0"/>
                <w:sz w:val="18"/>
                <w:szCs w:val="18"/>
              </w:rPr>
              <w:t>MADDE 3 –</w:t>
            </w:r>
            <w:r w:rsidRPr="002C1D31">
              <w:rPr>
                <w:rFonts w:ascii="Times New Roman" w:eastAsia="Times New Roman" w:hAnsi="Times New Roman" w:cs="Times New Roman"/>
                <w:smallCaps w:val="0"/>
                <w:sz w:val="18"/>
                <w:szCs w:val="18"/>
              </w:rPr>
              <w:t xml:space="preserve"> Bu Yönetmelik yayımı tarihinde yürürlüğe girer.</w:t>
            </w:r>
          </w:p>
          <w:p w:rsidR="002C1D31" w:rsidRPr="002C1D31" w:rsidRDefault="002C1D31" w:rsidP="002C1D31">
            <w:pPr>
              <w:tabs>
                <w:tab w:val="left" w:pos="566"/>
              </w:tabs>
              <w:spacing w:after="56" w:line="240" w:lineRule="exact"/>
              <w:ind w:firstLine="566"/>
              <w:jc w:val="both"/>
              <w:rPr>
                <w:rFonts w:ascii="Times New Roman" w:eastAsia="Times New Roman" w:hAnsi="Times New Roman" w:cs="Times New Roman"/>
                <w:smallCaps w:val="0"/>
                <w:sz w:val="18"/>
                <w:szCs w:val="18"/>
              </w:rPr>
            </w:pPr>
            <w:r w:rsidRPr="002C1D31">
              <w:rPr>
                <w:rFonts w:ascii="Times New Roman" w:eastAsia="Times New Roman" w:hAnsi="Times New Roman" w:cs="Times New Roman"/>
                <w:b/>
                <w:smallCaps w:val="0"/>
                <w:sz w:val="18"/>
                <w:szCs w:val="18"/>
              </w:rPr>
              <w:t>MADDE 4 –</w:t>
            </w:r>
            <w:r w:rsidRPr="002C1D31">
              <w:rPr>
                <w:rFonts w:ascii="Times New Roman" w:eastAsia="Times New Roman" w:hAnsi="Times New Roman" w:cs="Times New Roman"/>
                <w:smallCaps w:val="0"/>
                <w:sz w:val="18"/>
                <w:szCs w:val="18"/>
              </w:rPr>
              <w:t xml:space="preserve"> Bu Yönetmelik hükümlerini Türkiye Odalar ve Borsalar Birliği Başkanı yürütür.</w:t>
            </w:r>
          </w:p>
          <w:p w:rsidR="002C1D31" w:rsidRPr="002C1D31" w:rsidRDefault="002C1D31" w:rsidP="002C1D31">
            <w:pPr>
              <w:tabs>
                <w:tab w:val="left" w:pos="566"/>
              </w:tabs>
              <w:spacing w:after="0" w:line="240" w:lineRule="exact"/>
              <w:jc w:val="center"/>
              <w:rPr>
                <w:rFonts w:ascii="Times New Roman" w:eastAsia="Times New Roman" w:hAnsi="Times New Roman" w:cs="Times New Roman"/>
                <w:smallCaps w:val="0"/>
                <w:sz w:val="18"/>
                <w:szCs w:val="1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817"/>
              <w:gridCol w:w="4251"/>
            </w:tblGrid>
            <w:tr w:rsidR="002C1D31" w:rsidRPr="002C1D31">
              <w:trPr>
                <w:jc w:val="center"/>
              </w:trPr>
              <w:tc>
                <w:tcPr>
                  <w:tcW w:w="8505" w:type="dxa"/>
                  <w:gridSpan w:val="3"/>
                  <w:tcBorders>
                    <w:top w:val="single" w:sz="4" w:space="0" w:color="auto"/>
                    <w:left w:val="single" w:sz="4" w:space="0" w:color="auto"/>
                    <w:bottom w:val="nil"/>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b/>
                      <w:smallCaps w:val="0"/>
                      <w:sz w:val="18"/>
                      <w:szCs w:val="18"/>
                    </w:rPr>
                  </w:pPr>
                  <w:r w:rsidRPr="002C1D31">
                    <w:rPr>
                      <w:rFonts w:ascii="Times New Roman" w:eastAsia="Times New Roman" w:hAnsi="Times New Roman" w:cs="Times New Roman"/>
                      <w:b/>
                      <w:smallCaps w:val="0"/>
                      <w:sz w:val="18"/>
                      <w:szCs w:val="18"/>
                    </w:rPr>
                    <w:t>Yönetmeliğin Yayımlandığı Resmî Gazete'nin</w:t>
                  </w:r>
                </w:p>
              </w:tc>
            </w:tr>
            <w:tr w:rsidR="002C1D31" w:rsidRPr="002C1D31">
              <w:trPr>
                <w:jc w:val="center"/>
              </w:trPr>
              <w:tc>
                <w:tcPr>
                  <w:tcW w:w="4254" w:type="dxa"/>
                  <w:gridSpan w:val="2"/>
                  <w:tcBorders>
                    <w:top w:val="nil"/>
                    <w:left w:val="single" w:sz="4" w:space="0" w:color="auto"/>
                    <w:bottom w:val="single" w:sz="4" w:space="0" w:color="auto"/>
                    <w:right w:val="nil"/>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b/>
                      <w:smallCaps w:val="0"/>
                      <w:sz w:val="18"/>
                      <w:szCs w:val="18"/>
                    </w:rPr>
                  </w:pPr>
                  <w:r w:rsidRPr="002C1D31">
                    <w:rPr>
                      <w:rFonts w:ascii="Times New Roman" w:eastAsia="Times New Roman" w:hAnsi="Times New Roman" w:cs="Times New Roman"/>
                      <w:b/>
                      <w:smallCaps w:val="0"/>
                      <w:sz w:val="18"/>
                      <w:szCs w:val="18"/>
                    </w:rPr>
                    <w:t>Tarihi</w:t>
                  </w:r>
                </w:p>
              </w:tc>
              <w:tc>
                <w:tcPr>
                  <w:tcW w:w="4251" w:type="dxa"/>
                  <w:tcBorders>
                    <w:top w:val="nil"/>
                    <w:left w:val="nil"/>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b/>
                      <w:smallCaps w:val="0"/>
                      <w:sz w:val="18"/>
                      <w:szCs w:val="18"/>
                    </w:rPr>
                  </w:pPr>
                  <w:r w:rsidRPr="002C1D31">
                    <w:rPr>
                      <w:rFonts w:ascii="Times New Roman" w:eastAsia="Times New Roman" w:hAnsi="Times New Roman" w:cs="Times New Roman"/>
                      <w:b/>
                      <w:smallCaps w:val="0"/>
                      <w:sz w:val="18"/>
                      <w:szCs w:val="18"/>
                    </w:rPr>
                    <w:t>Sayısı</w:t>
                  </w:r>
                </w:p>
              </w:tc>
            </w:tr>
            <w:tr w:rsidR="002C1D31" w:rsidRPr="002C1D31">
              <w:trPr>
                <w:jc w:val="center"/>
              </w:trPr>
              <w:tc>
                <w:tcPr>
                  <w:tcW w:w="4254" w:type="dxa"/>
                  <w:gridSpan w:val="2"/>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19/1/2005</w:t>
                  </w:r>
                </w:p>
              </w:tc>
              <w:tc>
                <w:tcPr>
                  <w:tcW w:w="4251" w:type="dxa"/>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25705</w:t>
                  </w:r>
                </w:p>
              </w:tc>
            </w:tr>
            <w:tr w:rsidR="002C1D31" w:rsidRPr="002C1D31">
              <w:trPr>
                <w:jc w:val="center"/>
              </w:trPr>
              <w:tc>
                <w:tcPr>
                  <w:tcW w:w="8505" w:type="dxa"/>
                  <w:gridSpan w:val="3"/>
                  <w:tcBorders>
                    <w:top w:val="single" w:sz="4" w:space="0" w:color="auto"/>
                    <w:left w:val="single" w:sz="4" w:space="0" w:color="auto"/>
                    <w:bottom w:val="nil"/>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b/>
                      <w:smallCaps w:val="0"/>
                      <w:sz w:val="18"/>
                      <w:szCs w:val="18"/>
                    </w:rPr>
                  </w:pPr>
                  <w:r w:rsidRPr="002C1D31">
                    <w:rPr>
                      <w:rFonts w:ascii="Times New Roman" w:eastAsia="Times New Roman" w:hAnsi="Times New Roman" w:cs="Times New Roman"/>
                      <w:b/>
                      <w:smallCaps w:val="0"/>
                      <w:sz w:val="18"/>
                      <w:szCs w:val="18"/>
                    </w:rPr>
                    <w:t>Yönetmelikte Değişiklik Yapan Yönetmeliklerin Yayımlandığı Resmî Gazete'nin</w:t>
                  </w:r>
                </w:p>
              </w:tc>
            </w:tr>
            <w:tr w:rsidR="002C1D31" w:rsidRPr="002C1D31">
              <w:trPr>
                <w:jc w:val="center"/>
              </w:trPr>
              <w:tc>
                <w:tcPr>
                  <w:tcW w:w="4254" w:type="dxa"/>
                  <w:gridSpan w:val="2"/>
                  <w:tcBorders>
                    <w:top w:val="nil"/>
                    <w:left w:val="single" w:sz="4" w:space="0" w:color="auto"/>
                    <w:bottom w:val="single" w:sz="4" w:space="0" w:color="auto"/>
                    <w:right w:val="nil"/>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b/>
                      <w:smallCaps w:val="0"/>
                      <w:sz w:val="18"/>
                      <w:szCs w:val="18"/>
                    </w:rPr>
                  </w:pPr>
                  <w:r w:rsidRPr="002C1D31">
                    <w:rPr>
                      <w:rFonts w:ascii="Times New Roman" w:eastAsia="Times New Roman" w:hAnsi="Times New Roman" w:cs="Times New Roman"/>
                      <w:b/>
                      <w:smallCaps w:val="0"/>
                      <w:sz w:val="18"/>
                      <w:szCs w:val="18"/>
                    </w:rPr>
                    <w:t>Tarihi</w:t>
                  </w:r>
                </w:p>
              </w:tc>
              <w:tc>
                <w:tcPr>
                  <w:tcW w:w="4251" w:type="dxa"/>
                  <w:tcBorders>
                    <w:top w:val="nil"/>
                    <w:left w:val="nil"/>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b/>
                      <w:smallCaps w:val="0"/>
                      <w:sz w:val="18"/>
                      <w:szCs w:val="18"/>
                    </w:rPr>
                  </w:pPr>
                  <w:r w:rsidRPr="002C1D31">
                    <w:rPr>
                      <w:rFonts w:ascii="Times New Roman" w:eastAsia="Times New Roman" w:hAnsi="Times New Roman" w:cs="Times New Roman"/>
                      <w:b/>
                      <w:smallCaps w:val="0"/>
                      <w:sz w:val="18"/>
                      <w:szCs w:val="18"/>
                    </w:rPr>
                    <w:t>Sayısı</w:t>
                  </w:r>
                </w:p>
              </w:tc>
            </w:tr>
            <w:tr w:rsidR="002C1D31" w:rsidRPr="002C1D31">
              <w:trPr>
                <w:jc w:val="center"/>
              </w:trPr>
              <w:tc>
                <w:tcPr>
                  <w:tcW w:w="437" w:type="dxa"/>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1</w:t>
                  </w:r>
                </w:p>
              </w:tc>
              <w:tc>
                <w:tcPr>
                  <w:tcW w:w="3817" w:type="dxa"/>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708"/>
                    </w:tabs>
                    <w:spacing w:after="0" w:line="240" w:lineRule="exact"/>
                    <w:ind w:right="469"/>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9/4/2011</w:t>
                  </w:r>
                </w:p>
              </w:tc>
              <w:tc>
                <w:tcPr>
                  <w:tcW w:w="4251" w:type="dxa"/>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27900</w:t>
                  </w:r>
                </w:p>
              </w:tc>
            </w:tr>
            <w:tr w:rsidR="002C1D31" w:rsidRPr="002C1D31">
              <w:trPr>
                <w:jc w:val="center"/>
              </w:trPr>
              <w:tc>
                <w:tcPr>
                  <w:tcW w:w="437" w:type="dxa"/>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2</w:t>
                  </w:r>
                </w:p>
              </w:tc>
              <w:tc>
                <w:tcPr>
                  <w:tcW w:w="3817" w:type="dxa"/>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708"/>
                    </w:tabs>
                    <w:spacing w:after="0" w:line="240" w:lineRule="exact"/>
                    <w:ind w:right="469"/>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3/6/2012</w:t>
                  </w:r>
                </w:p>
              </w:tc>
              <w:tc>
                <w:tcPr>
                  <w:tcW w:w="4251" w:type="dxa"/>
                  <w:tcBorders>
                    <w:top w:val="single" w:sz="4" w:space="0" w:color="auto"/>
                    <w:left w:val="single" w:sz="4" w:space="0" w:color="auto"/>
                    <w:bottom w:val="single" w:sz="4" w:space="0" w:color="auto"/>
                    <w:right w:val="single" w:sz="4" w:space="0" w:color="auto"/>
                  </w:tcBorders>
                  <w:hideMark/>
                </w:tcPr>
                <w:p w:rsidR="002C1D31" w:rsidRPr="002C1D31" w:rsidRDefault="002C1D31" w:rsidP="002C1D31">
                  <w:pPr>
                    <w:tabs>
                      <w:tab w:val="left" w:pos="566"/>
                    </w:tabs>
                    <w:spacing w:after="0" w:line="240" w:lineRule="exact"/>
                    <w:jc w:val="center"/>
                    <w:rPr>
                      <w:rFonts w:ascii="Times New Roman" w:eastAsia="Times New Roman" w:hAnsi="Times New Roman" w:cs="Times New Roman"/>
                      <w:smallCaps w:val="0"/>
                      <w:sz w:val="18"/>
                      <w:szCs w:val="18"/>
                    </w:rPr>
                  </w:pPr>
                  <w:r w:rsidRPr="002C1D31">
                    <w:rPr>
                      <w:rFonts w:ascii="Times New Roman" w:eastAsia="Times New Roman" w:hAnsi="Times New Roman" w:cs="Times New Roman"/>
                      <w:smallCaps w:val="0"/>
                      <w:sz w:val="18"/>
                      <w:szCs w:val="18"/>
                    </w:rPr>
                    <w:t>28312</w:t>
                  </w:r>
                </w:p>
              </w:tc>
            </w:tr>
          </w:tbl>
          <w:p w:rsidR="002C1D31" w:rsidRPr="002C1D31" w:rsidRDefault="002C1D31" w:rsidP="002C1D31">
            <w:pPr>
              <w:spacing w:after="0" w:line="240" w:lineRule="auto"/>
              <w:jc w:val="center"/>
              <w:rPr>
                <w:rFonts w:ascii="Times New Roman" w:eastAsia="Times New Roman" w:hAnsi="Times New Roman" w:cs="Times New Roman"/>
                <w:smallCaps w:val="0"/>
                <w:sz w:val="24"/>
                <w:szCs w:val="24"/>
                <w:lang w:eastAsia="tr-TR"/>
              </w:rPr>
            </w:pPr>
          </w:p>
        </w:tc>
      </w:tr>
    </w:tbl>
    <w:p w:rsidR="00A4511D" w:rsidRDefault="00A4511D"/>
    <w:sectPr w:rsidR="00A4511D" w:rsidSect="00A451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C1D31"/>
    <w:rsid w:val="002C1D31"/>
    <w:rsid w:val="004228A2"/>
    <w:rsid w:val="00A451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mallCaps/>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1D31"/>
    <w:pPr>
      <w:spacing w:before="100" w:beforeAutospacing="1" w:after="100" w:afterAutospacing="1" w:line="240" w:lineRule="auto"/>
    </w:pPr>
    <w:rPr>
      <w:rFonts w:ascii="Times New Roman" w:eastAsia="Times New Roman" w:hAnsi="Times New Roman" w:cs="Times New Roman"/>
      <w:smallCaps w:val="0"/>
      <w:sz w:val="24"/>
      <w:szCs w:val="24"/>
      <w:lang w:eastAsia="tr-TR"/>
    </w:rPr>
  </w:style>
  <w:style w:type="paragraph" w:customStyle="1" w:styleId="3-NormalYaz">
    <w:name w:val="3-Normal Yazı"/>
    <w:rsid w:val="002C1D31"/>
    <w:pPr>
      <w:tabs>
        <w:tab w:val="left" w:pos="566"/>
      </w:tabs>
      <w:spacing w:after="0" w:line="240" w:lineRule="auto"/>
      <w:jc w:val="both"/>
    </w:pPr>
    <w:rPr>
      <w:rFonts w:ascii="Times New Roman" w:eastAsia="Times New Roman" w:hAnsi="Times New Roman" w:cs="Times New Roman"/>
      <w:smallCaps w:val="0"/>
      <w:sz w:val="19"/>
      <w:szCs w:val="20"/>
    </w:rPr>
  </w:style>
  <w:style w:type="paragraph" w:customStyle="1" w:styleId="1-Baslk">
    <w:name w:val="1-Baslık"/>
    <w:rsid w:val="002C1D31"/>
    <w:pPr>
      <w:tabs>
        <w:tab w:val="left" w:pos="566"/>
      </w:tabs>
      <w:spacing w:after="0" w:line="240" w:lineRule="auto"/>
    </w:pPr>
    <w:rPr>
      <w:rFonts w:ascii="Times New Roman" w:eastAsia="ヒラギノ明朝 Pro W3" w:hAnsi="Times" w:cs="Times New Roman"/>
      <w:smallCaps w:val="0"/>
      <w:szCs w:val="20"/>
      <w:u w:val="single"/>
    </w:rPr>
  </w:style>
  <w:style w:type="paragraph" w:customStyle="1" w:styleId="2-OrtaBaslk">
    <w:name w:val="2-Orta Baslık"/>
    <w:rsid w:val="002C1D31"/>
    <w:pPr>
      <w:spacing w:after="0" w:line="240" w:lineRule="auto"/>
      <w:jc w:val="center"/>
    </w:pPr>
    <w:rPr>
      <w:rFonts w:ascii="Times New Roman" w:eastAsia="ヒラギノ明朝 Pro W3" w:hAnsi="Times" w:cs="Times New Roman"/>
      <w:b/>
      <w:smallCaps w:val="0"/>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AC03EF9DF728945B512342E5E898EEC" ma:contentTypeVersion="4" ma:contentTypeDescription="Yeni belge oluşturun." ma:contentTypeScope="" ma:versionID="cea49d40a0007d15b52ba6e921814fcc">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f7107038f044a408d8076dafcda81fab"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2ef6456-6971-40a6-83fa-6b0619ff88f9">2275DMW4H6TN-79-569</_dlc_DocId>
    <_dlc_DocIdUrl xmlns="02ef6456-6971-40a6-83fa-6b0619ff88f9">
      <Url>http://www.tobb.org.tr/HukukMusavirligi/_layouts/DocIdRedir.aspx?ID=2275DMW4H6TN-79-569</Url>
      <Description>2275DMW4H6TN-79-569</Description>
    </_dlc_DocIdUrl>
  </documentManagement>
</p:properties>
</file>

<file path=customXml/itemProps1.xml><?xml version="1.0" encoding="utf-8"?>
<ds:datastoreItem xmlns:ds="http://schemas.openxmlformats.org/officeDocument/2006/customXml" ds:itemID="{8FE7D6A8-2D29-4191-8660-F772FA9DAC8A}"/>
</file>

<file path=customXml/itemProps2.xml><?xml version="1.0" encoding="utf-8"?>
<ds:datastoreItem xmlns:ds="http://schemas.openxmlformats.org/officeDocument/2006/customXml" ds:itemID="{4EAB8C87-DD4D-48AD-83ED-416BAC8AA9A9}"/>
</file>

<file path=customXml/itemProps3.xml><?xml version="1.0" encoding="utf-8"?>
<ds:datastoreItem xmlns:ds="http://schemas.openxmlformats.org/officeDocument/2006/customXml" ds:itemID="{EE0AC2EC-8FE2-43FB-AA0C-FD9AD64C1C10}"/>
</file>

<file path=customXml/itemProps4.xml><?xml version="1.0" encoding="utf-8"?>
<ds:datastoreItem xmlns:ds="http://schemas.openxmlformats.org/officeDocument/2006/customXml" ds:itemID="{C2AC64E3-7040-4A54-990C-97E3D2396901}"/>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TOBB</cp:lastModifiedBy>
  <cp:revision>2</cp:revision>
  <dcterms:created xsi:type="dcterms:W3CDTF">2012-09-30T13:56:00Z</dcterms:created>
  <dcterms:modified xsi:type="dcterms:W3CDTF">2012-09-30T13:56:00Z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0x0101008AC03EF9DF728945B512342E5E898EEC</vt:lpwstr>
  </property>
  <property fmtid="{D5CDD505-2E9C-101B-9397-08002B2CF9AE}" pid="3" name="_dlc_DocIdItemGuid">
    <vt:lpwstr>27ea586c-5664-44e3-b7dd-feccb985f014</vt:lpwstr>
  </property>
</Properties>
</file>