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36C0B">
        <w:rPr>
          <w:b/>
        </w:rPr>
        <w:t>3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DE6AC8">
        <w:rPr>
          <w:b/>
        </w:rPr>
        <w:t>EKİM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DE6AC8">
        <w:rPr>
          <w:b/>
        </w:rPr>
        <w:t>EKİM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DE6AC8">
        <w:rPr>
          <w:b/>
          <w:u w:val="single"/>
        </w:rPr>
        <w:t>14</w:t>
      </w:r>
      <w:r w:rsidR="00BD28C9">
        <w:rPr>
          <w:b/>
          <w:u w:val="single"/>
        </w:rPr>
        <w:t>,7</w:t>
      </w:r>
      <w:r w:rsidR="00DE6AC8">
        <w:rPr>
          <w:b/>
          <w:u w:val="single"/>
        </w:rPr>
        <w:t>0</w:t>
      </w:r>
      <w:r w:rsidRPr="002E3D42">
        <w:rPr>
          <w:b/>
          <w:u w:val="single"/>
        </w:rPr>
        <w:t>’L</w:t>
      </w:r>
      <w:r w:rsidR="00DE6AC8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1B2EC1">
        <w:rPr>
          <w:b/>
          <w:u w:val="single"/>
        </w:rPr>
        <w:t xml:space="preserve"> DA</w:t>
      </w:r>
      <w:r w:rsidR="00910EFE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DE6AC8">
        <w:rPr>
          <w:b/>
          <w:u w:val="single"/>
        </w:rPr>
        <w:t>20</w:t>
      </w:r>
      <w:r w:rsidR="00BD28C9">
        <w:rPr>
          <w:b/>
          <w:u w:val="single"/>
        </w:rPr>
        <w:t>,</w:t>
      </w:r>
      <w:r w:rsidR="00DE6AC8">
        <w:rPr>
          <w:b/>
          <w:u w:val="single"/>
        </w:rPr>
        <w:t>22</w:t>
      </w:r>
      <w:r w:rsidRPr="002E3D42">
        <w:rPr>
          <w:b/>
          <w:u w:val="single"/>
        </w:rPr>
        <w:t>’L</w:t>
      </w:r>
      <w:r w:rsidR="00DE6AC8">
        <w:rPr>
          <w:b/>
          <w:u w:val="single"/>
        </w:rPr>
        <w:t>İ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36C0B">
        <w:rPr>
          <w:b/>
        </w:rPr>
        <w:t>3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DE6AC8">
        <w:rPr>
          <w:b/>
        </w:rPr>
        <w:t>10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DE6AC8">
        <w:rPr>
          <w:b/>
          <w:u w:val="single"/>
        </w:rPr>
        <w:t>1</w:t>
      </w:r>
      <w:r w:rsidR="00BD28C9">
        <w:rPr>
          <w:b/>
          <w:u w:val="single"/>
        </w:rPr>
        <w:t>,</w:t>
      </w:r>
      <w:r w:rsidR="00DE6AC8">
        <w:rPr>
          <w:b/>
          <w:u w:val="single"/>
        </w:rPr>
        <w:t>30</w:t>
      </w:r>
      <w:r w:rsidR="007B5079">
        <w:rPr>
          <w:b/>
          <w:u w:val="single"/>
        </w:rPr>
        <w:t>’L</w:t>
      </w:r>
      <w:r w:rsidR="00DE6AC8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BD28C9">
        <w:rPr>
          <w:b/>
          <w:u w:val="single"/>
        </w:rPr>
        <w:t>1</w:t>
      </w:r>
      <w:r w:rsidR="00F172B8">
        <w:rPr>
          <w:b/>
          <w:u w:val="single"/>
        </w:rPr>
        <w:t>3</w:t>
      </w:r>
      <w:r w:rsidR="00BD28C9">
        <w:rPr>
          <w:b/>
          <w:u w:val="single"/>
        </w:rPr>
        <w:t>,</w:t>
      </w:r>
      <w:r w:rsidR="00DE6AC8">
        <w:rPr>
          <w:b/>
          <w:u w:val="single"/>
        </w:rPr>
        <w:t>92</w:t>
      </w:r>
      <w:r w:rsidR="007B5079">
        <w:rPr>
          <w:b/>
          <w:u w:val="single"/>
        </w:rPr>
        <w:t>’L</w:t>
      </w:r>
      <w:r w:rsidR="00DE6AC8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36C0B">
        <w:t>3</w:t>
      </w:r>
      <w:r w:rsidR="004407B0">
        <w:t xml:space="preserve"> yılı </w:t>
      </w:r>
      <w:r w:rsidR="00B9167A">
        <w:t>E</w:t>
      </w:r>
      <w:r w:rsidR="00FD3B94">
        <w:t>kim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B9167A">
        <w:t>E</w:t>
      </w:r>
      <w:r w:rsidR="00FD3B94">
        <w:t>kim</w:t>
      </w:r>
      <w:r w:rsidR="004407B0">
        <w:t xml:space="preserve"> ayına göre verilen geçiş belgesi sayısında yüzde </w:t>
      </w:r>
      <w:r w:rsidR="00FD3B94">
        <w:t>14</w:t>
      </w:r>
      <w:r w:rsidR="00BD28C9">
        <w:t>,7</w:t>
      </w:r>
      <w:r w:rsidR="00FD3B94">
        <w:t>0</w:t>
      </w:r>
      <w:r w:rsidR="00F172B8">
        <w:t>’l</w:t>
      </w:r>
      <w:r w:rsidR="00FD3B94">
        <w:t>i</w:t>
      </w:r>
      <w:r w:rsidR="001B2EC1">
        <w:t>k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1B2EC1">
        <w:t xml:space="preserve"> da</w:t>
      </w:r>
      <w:r w:rsidR="00910EFE">
        <w:t xml:space="preserve"> </w:t>
      </w:r>
      <w:r w:rsidR="004407B0">
        <w:t xml:space="preserve">yüzde </w:t>
      </w:r>
      <w:r w:rsidR="00FD3B94">
        <w:t>20,22</w:t>
      </w:r>
      <w:r w:rsidR="004407B0">
        <w:t>’l</w:t>
      </w:r>
      <w:r w:rsidR="00FD3B94">
        <w:t>i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9167A">
            <w:pPr>
              <w:jc w:val="center"/>
            </w:pPr>
            <w:r>
              <w:t>201</w:t>
            </w:r>
            <w:r w:rsidR="00836C0B">
              <w:t>2</w:t>
            </w:r>
            <w:r>
              <w:t xml:space="preserve"> (</w:t>
            </w:r>
            <w:r w:rsidR="00FD3B94">
              <w:t>Ekim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9167A">
            <w:pPr>
              <w:jc w:val="center"/>
            </w:pPr>
            <w:r>
              <w:t>201</w:t>
            </w:r>
            <w:r w:rsidR="00836C0B">
              <w:t>3</w:t>
            </w:r>
            <w:r>
              <w:t xml:space="preserve"> (</w:t>
            </w:r>
            <w:r w:rsidR="00FD3B94">
              <w:t>Ekim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D3B94" w:rsidP="00BD28C9">
            <w:pPr>
              <w:jc w:val="center"/>
            </w:pPr>
            <w:r>
              <w:t>74.570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D3B94" w:rsidP="000C3931">
            <w:pPr>
              <w:jc w:val="center"/>
            </w:pPr>
            <w:r>
              <w:t>63.611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FD3B94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BD28C9">
              <w:t>-</w:t>
            </w:r>
            <w:r w:rsidR="00FD3B94">
              <w:t>14</w:t>
            </w:r>
            <w:r w:rsidR="00F172B8">
              <w:t>,7</w:t>
            </w:r>
            <w:r w:rsidR="00FD3B94">
              <w:t>0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D3B94">
            <w:pPr>
              <w:jc w:val="center"/>
            </w:pPr>
            <w:r>
              <w:t>56.566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D3B94" w:rsidP="00753E96">
            <w:pPr>
              <w:jc w:val="center"/>
            </w:pPr>
            <w:r>
              <w:t>45.126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FD3B94">
            <w:r>
              <w:t xml:space="preserve">        </w:t>
            </w:r>
            <w:r w:rsidR="00AE6D8D">
              <w:t>% -</w:t>
            </w:r>
            <w:r w:rsidR="00FD3B94">
              <w:t>20,22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r w:rsidR="00FD3B94">
        <w:t>on</w:t>
      </w:r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FD3B94">
        <w:t>1</w:t>
      </w:r>
      <w:r w:rsidR="007E6B11">
        <w:t>,</w:t>
      </w:r>
      <w:r w:rsidR="00FD3B94">
        <w:t>30</w:t>
      </w:r>
      <w:r w:rsidR="00EB4F82">
        <w:t>’</w:t>
      </w:r>
      <w:r w:rsidR="00FD3B94">
        <w:t>lu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F172B8">
        <w:t>13,</w:t>
      </w:r>
      <w:r w:rsidR="00FD3B94">
        <w:t>92’li</w:t>
      </w:r>
      <w:r w:rsidR="004407B0">
        <w:t>k</w:t>
      </w:r>
      <w:r w:rsidR="00836C0B">
        <w:t xml:space="preserve"> bir</w:t>
      </w:r>
      <w:r w:rsidR="004407B0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FD3B94">
            <w:r>
              <w:t xml:space="preserve"> </w:t>
            </w:r>
            <w:r w:rsidR="001F3408">
              <w:t>201</w:t>
            </w:r>
            <w:r w:rsidR="00836C0B">
              <w:t>2</w:t>
            </w:r>
            <w:r w:rsidR="001F3408">
              <w:t>(Ocak-</w:t>
            </w:r>
            <w:r w:rsidR="007E6B11">
              <w:t>E</w:t>
            </w:r>
            <w:r w:rsidR="00FD3B94">
              <w:t>kim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E6B11">
            <w:pPr>
              <w:jc w:val="center"/>
            </w:pPr>
            <w:r>
              <w:t>201</w:t>
            </w:r>
            <w:r w:rsidR="00836C0B">
              <w:t>3</w:t>
            </w:r>
            <w:r w:rsidR="00A26F26">
              <w:t>(Ocak-</w:t>
            </w:r>
            <w:r w:rsidR="00FD3B94">
              <w:t>Ekim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D3B94">
            <w:pPr>
              <w:jc w:val="center"/>
            </w:pPr>
            <w:r>
              <w:t>731.644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836C0B">
            <w:pPr>
              <w:jc w:val="center"/>
            </w:pPr>
            <w:r>
              <w:t>722.118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AF3496">
            <w:pPr>
              <w:jc w:val="center"/>
            </w:pPr>
            <w:r>
              <w:t>%</w:t>
            </w:r>
            <w:r w:rsidR="00F172B8">
              <w:t xml:space="preserve"> </w:t>
            </w:r>
            <w:r w:rsidR="00AF3496">
              <w:t>-1,30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D3B94">
            <w:pPr>
              <w:jc w:val="center"/>
            </w:pPr>
            <w:r>
              <w:t>549.642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>
            <w:pPr>
              <w:jc w:val="center"/>
            </w:pPr>
            <w:r>
              <w:t>473.156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AF3496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774D3D">
              <w:t>13,</w:t>
            </w:r>
            <w:r>
              <w:t>92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325FA5">
        <w:rPr>
          <w:b/>
          <w:bCs/>
        </w:rPr>
        <w:t>3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418"/>
        <w:gridCol w:w="1275"/>
      </w:tblGrid>
      <w:tr w:rsidR="006B2724" w:rsidTr="00413DE4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325FA5">
              <w:t>2</w:t>
            </w:r>
          </w:p>
          <w:p w:rsidR="002C7495" w:rsidRDefault="002C7495" w:rsidP="00032442">
            <w:pPr>
              <w:jc w:val="center"/>
            </w:pPr>
            <w:r>
              <w:t>(</w:t>
            </w:r>
            <w:r w:rsidR="007E6B11">
              <w:t>E</w:t>
            </w:r>
            <w:r w:rsidR="00032442">
              <w:t>kim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032442" w:rsidP="00032442">
            <w:r>
              <w:t xml:space="preserve">   </w:t>
            </w:r>
            <w:r w:rsidR="00A26F26">
              <w:t>(</w:t>
            </w:r>
            <w:r>
              <w:t>Ekim</w:t>
            </w:r>
            <w:r w:rsidR="00A26F26"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032442">
            <w:pPr>
              <w:jc w:val="center"/>
            </w:pPr>
            <w:r>
              <w:t>201</w:t>
            </w:r>
            <w:r w:rsidR="00325FA5">
              <w:t>2</w:t>
            </w:r>
            <w:r>
              <w:t xml:space="preserve"> </w:t>
            </w:r>
            <w:r w:rsidR="001B48A7">
              <w:t xml:space="preserve">     </w:t>
            </w:r>
            <w:r>
              <w:t>(Ocak-</w:t>
            </w:r>
            <w:r w:rsidR="007E6B11">
              <w:t>E</w:t>
            </w:r>
            <w:r w:rsidR="00032442">
              <w:t>kim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7E6B11">
            <w:pPr>
              <w:jc w:val="center"/>
            </w:pPr>
            <w:r>
              <w:t>(Ocak-</w:t>
            </w:r>
            <w:r w:rsidR="00032442">
              <w:t>Ekim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032442" w:rsidP="00774D3D">
            <w:pPr>
              <w:jc w:val="center"/>
            </w:pPr>
            <w:r>
              <w:t>1.720</w:t>
            </w:r>
          </w:p>
        </w:tc>
        <w:tc>
          <w:tcPr>
            <w:tcW w:w="1276" w:type="dxa"/>
            <w:vAlign w:val="center"/>
          </w:tcPr>
          <w:p w:rsidR="002C7495" w:rsidRDefault="00032442" w:rsidP="00305121">
            <w:pPr>
              <w:jc w:val="center"/>
            </w:pPr>
            <w:r>
              <w:t>1.325</w:t>
            </w:r>
          </w:p>
        </w:tc>
        <w:tc>
          <w:tcPr>
            <w:tcW w:w="1418" w:type="dxa"/>
            <w:vAlign w:val="center"/>
          </w:tcPr>
          <w:p w:rsidR="002C7495" w:rsidRDefault="00A179AB" w:rsidP="00032442">
            <w:pPr>
              <w:jc w:val="center"/>
            </w:pPr>
            <w:r>
              <w:t xml:space="preserve"> % </w:t>
            </w:r>
            <w:r w:rsidR="006B0BB6">
              <w:t>-</w:t>
            </w:r>
            <w:r w:rsidR="00032442">
              <w:t>22</w:t>
            </w:r>
            <w:r w:rsidR="00774D3D">
              <w:t>,</w:t>
            </w:r>
            <w:r w:rsidR="00032442">
              <w:t>97</w:t>
            </w:r>
          </w:p>
        </w:tc>
        <w:tc>
          <w:tcPr>
            <w:tcW w:w="1417" w:type="dxa"/>
            <w:vAlign w:val="center"/>
          </w:tcPr>
          <w:p w:rsidR="002C7495" w:rsidRDefault="00032442" w:rsidP="001B48A7">
            <w:pPr>
              <w:jc w:val="center"/>
            </w:pPr>
            <w:r>
              <w:t>23.788</w:t>
            </w:r>
          </w:p>
        </w:tc>
        <w:tc>
          <w:tcPr>
            <w:tcW w:w="1418" w:type="dxa"/>
            <w:vAlign w:val="center"/>
          </w:tcPr>
          <w:p w:rsidR="002C7495" w:rsidRDefault="00032442" w:rsidP="001B48A7">
            <w:pPr>
              <w:jc w:val="center"/>
            </w:pPr>
            <w:r>
              <w:t>19.506</w:t>
            </w:r>
          </w:p>
        </w:tc>
        <w:tc>
          <w:tcPr>
            <w:tcW w:w="1275" w:type="dxa"/>
            <w:vAlign w:val="center"/>
          </w:tcPr>
          <w:p w:rsidR="002C7495" w:rsidRDefault="00032442" w:rsidP="00032442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>
              <w:t>18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032442" w:rsidP="00774D3D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2C7495" w:rsidRDefault="00774D3D" w:rsidP="00032442">
            <w:pPr>
              <w:jc w:val="center"/>
            </w:pPr>
            <w:r>
              <w:t>1</w:t>
            </w:r>
            <w:r w:rsidR="00032442">
              <w:t>4</w:t>
            </w:r>
          </w:p>
        </w:tc>
        <w:tc>
          <w:tcPr>
            <w:tcW w:w="1418" w:type="dxa"/>
            <w:vAlign w:val="center"/>
          </w:tcPr>
          <w:p w:rsidR="002C7495" w:rsidRDefault="00A179AB" w:rsidP="00032442">
            <w:r>
              <w:t xml:space="preserve">   % </w:t>
            </w:r>
            <w:r w:rsidR="00774D3D">
              <w:t>1</w:t>
            </w:r>
            <w:r w:rsidR="00032442">
              <w:t>0</w:t>
            </w:r>
            <w:r w:rsidR="00774D3D">
              <w:t>0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774D3D" w:rsidP="00032442">
            <w:pPr>
              <w:jc w:val="center"/>
            </w:pPr>
            <w:r>
              <w:t>13</w:t>
            </w:r>
            <w:r w:rsidR="00032442">
              <w:t>8</w:t>
            </w:r>
          </w:p>
        </w:tc>
        <w:tc>
          <w:tcPr>
            <w:tcW w:w="1418" w:type="dxa"/>
            <w:vAlign w:val="center"/>
          </w:tcPr>
          <w:p w:rsidR="002C7495" w:rsidRDefault="00032442" w:rsidP="00305121">
            <w:pPr>
              <w:jc w:val="center"/>
            </w:pPr>
            <w:r>
              <w:t>71</w:t>
            </w:r>
          </w:p>
        </w:tc>
        <w:tc>
          <w:tcPr>
            <w:tcW w:w="1275" w:type="dxa"/>
            <w:vAlign w:val="center"/>
          </w:tcPr>
          <w:p w:rsidR="002C7495" w:rsidRDefault="00D81B72" w:rsidP="00032442">
            <w:r>
              <w:t xml:space="preserve">  </w:t>
            </w:r>
            <w:r w:rsidR="00A179AB">
              <w:t xml:space="preserve">% </w:t>
            </w:r>
            <w:r w:rsidR="008522C6">
              <w:t>-</w:t>
            </w:r>
            <w:r w:rsidR="00032442">
              <w:t>48,55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032442" w:rsidP="00D81B72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C7495" w:rsidRDefault="00774D3D" w:rsidP="00032442">
            <w:pPr>
              <w:jc w:val="center"/>
            </w:pPr>
            <w:r>
              <w:t>1</w:t>
            </w:r>
            <w:r w:rsidR="00032442">
              <w:t>0</w:t>
            </w:r>
          </w:p>
        </w:tc>
        <w:tc>
          <w:tcPr>
            <w:tcW w:w="1418" w:type="dxa"/>
            <w:vAlign w:val="center"/>
          </w:tcPr>
          <w:p w:rsidR="002C7495" w:rsidRDefault="00A179AB" w:rsidP="00032442">
            <w:r>
              <w:t xml:space="preserve">   % </w:t>
            </w:r>
            <w:r w:rsidR="00032442">
              <w:t>66,67</w:t>
            </w:r>
          </w:p>
        </w:tc>
        <w:tc>
          <w:tcPr>
            <w:tcW w:w="1417" w:type="dxa"/>
            <w:vAlign w:val="center"/>
          </w:tcPr>
          <w:p w:rsidR="002C7495" w:rsidRDefault="00774D3D" w:rsidP="00032442">
            <w:pPr>
              <w:jc w:val="center"/>
            </w:pPr>
            <w:r>
              <w:t>13</w:t>
            </w:r>
            <w:r w:rsidR="00032442">
              <w:t>9</w:t>
            </w:r>
          </w:p>
        </w:tc>
        <w:tc>
          <w:tcPr>
            <w:tcW w:w="1418" w:type="dxa"/>
            <w:vAlign w:val="center"/>
          </w:tcPr>
          <w:p w:rsidR="002C7495" w:rsidRDefault="00774D3D" w:rsidP="00032442">
            <w:pPr>
              <w:jc w:val="center"/>
            </w:pPr>
            <w:r>
              <w:t>1</w:t>
            </w:r>
            <w:r w:rsidR="00032442">
              <w:t>1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2C7495" w:rsidRDefault="008522C6" w:rsidP="00032442">
            <w:pPr>
              <w:jc w:val="center"/>
            </w:pPr>
            <w:r>
              <w:t xml:space="preserve"> % </w:t>
            </w:r>
            <w:r w:rsidR="00325FA5">
              <w:t>-</w:t>
            </w:r>
            <w:r w:rsidR="00032442">
              <w:t>15,83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325FA5">
        <w:t>3</w:t>
      </w:r>
      <w:r w:rsidR="00C5086B">
        <w:t xml:space="preserve"> </w:t>
      </w:r>
      <w:r w:rsidR="00CC1743">
        <w:t xml:space="preserve">yılı </w:t>
      </w:r>
      <w:r w:rsidR="00032442">
        <w:t>Ekim</w:t>
      </w:r>
      <w:r w:rsidR="00CC1743">
        <w:t xml:space="preserve"> ayında</w:t>
      </w:r>
      <w:r>
        <w:t xml:space="preserve"> </w:t>
      </w:r>
      <w:r w:rsidR="00305121">
        <w:t>1.</w:t>
      </w:r>
      <w:r w:rsidR="00032442">
        <w:t>325</w:t>
      </w:r>
      <w:r>
        <w:t xml:space="preserve"> adet sürücü kartı, </w:t>
      </w:r>
      <w:r w:rsidR="00774D3D">
        <w:t>1</w:t>
      </w:r>
      <w:r w:rsidR="00032442">
        <w:t>4</w:t>
      </w:r>
      <w:r>
        <w:t xml:space="preserve"> adet şirket kartı ile </w:t>
      </w:r>
      <w:r w:rsidR="00774D3D">
        <w:t>1</w:t>
      </w:r>
      <w:r w:rsidR="00032442">
        <w:t>0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032442">
        <w:rPr>
          <w:b/>
          <w:sz w:val="22"/>
          <w:szCs w:val="22"/>
        </w:rPr>
        <w:t>4</w:t>
      </w:r>
      <w:r w:rsidR="004816A9">
        <w:rPr>
          <w:b/>
          <w:sz w:val="22"/>
          <w:szCs w:val="22"/>
        </w:rPr>
        <w:t>/</w:t>
      </w:r>
      <w:r w:rsidR="00774D3D">
        <w:rPr>
          <w:b/>
          <w:sz w:val="22"/>
          <w:szCs w:val="22"/>
        </w:rPr>
        <w:t>1</w:t>
      </w:r>
      <w:r w:rsidR="00032442">
        <w:rPr>
          <w:b/>
          <w:sz w:val="22"/>
          <w:szCs w:val="22"/>
        </w:rPr>
        <w:t>1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325FA5">
        <w:rPr>
          <w:b/>
          <w:sz w:val="22"/>
          <w:szCs w:val="22"/>
        </w:rPr>
        <w:t>3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  <w:bookmarkStart w:id="0" w:name="_GoBack"/>
      <w:bookmarkEnd w:id="0"/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A6F1E"/>
    <w:rsid w:val="001B2EC1"/>
    <w:rsid w:val="001B48A7"/>
    <w:rsid w:val="001C72A5"/>
    <w:rsid w:val="001F3408"/>
    <w:rsid w:val="002028B1"/>
    <w:rsid w:val="00204992"/>
    <w:rsid w:val="0020709C"/>
    <w:rsid w:val="00215BFE"/>
    <w:rsid w:val="002458C3"/>
    <w:rsid w:val="00255F73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4F5F"/>
    <w:rsid w:val="005C4E00"/>
    <w:rsid w:val="005C781B"/>
    <w:rsid w:val="005D6E6F"/>
    <w:rsid w:val="005E478F"/>
    <w:rsid w:val="005F1359"/>
    <w:rsid w:val="00614868"/>
    <w:rsid w:val="00625CDD"/>
    <w:rsid w:val="00626C42"/>
    <w:rsid w:val="00661774"/>
    <w:rsid w:val="006635C8"/>
    <w:rsid w:val="00666BF0"/>
    <w:rsid w:val="00696C85"/>
    <w:rsid w:val="006B0939"/>
    <w:rsid w:val="006B0BB6"/>
    <w:rsid w:val="006B2724"/>
    <w:rsid w:val="006E2F13"/>
    <w:rsid w:val="007038DD"/>
    <w:rsid w:val="00707AEB"/>
    <w:rsid w:val="0071695B"/>
    <w:rsid w:val="0073584C"/>
    <w:rsid w:val="00742B7E"/>
    <w:rsid w:val="00742D92"/>
    <w:rsid w:val="00753E96"/>
    <w:rsid w:val="007550AE"/>
    <w:rsid w:val="00767DC8"/>
    <w:rsid w:val="00770A4F"/>
    <w:rsid w:val="00774D3D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D6D97"/>
    <w:rsid w:val="00AE1945"/>
    <w:rsid w:val="00AE6D8D"/>
    <w:rsid w:val="00AF0F16"/>
    <w:rsid w:val="00AF349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2011-07-06T10:44:00Z</cp:lastPrinted>
  <dcterms:created xsi:type="dcterms:W3CDTF">2013-11-04T13:11:00Z</dcterms:created>
  <dcterms:modified xsi:type="dcterms:W3CDTF">2013-11-04T13:11:00Z</dcterms:modified>
</cp:coreProperties>
</file>